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84018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84018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-30.45pt;width:53.1pt;height:63.05pt;z-index:251660288">
            <v:imagedata r:id="rId6" o:title=""/>
          </v:shape>
          <o:OLEObject Type="Embed" ProgID="Photoshop.Image.6" ShapeID="_x0000_s1026" DrawAspect="Content" ObjectID="_1772618673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Pr="00D25E2F" w:rsidRDefault="00636025" w:rsidP="00116424">
      <w:pPr>
        <w:tabs>
          <w:tab w:val="left" w:pos="2565"/>
          <w:tab w:val="center" w:pos="4677"/>
          <w:tab w:val="left" w:pos="7051"/>
          <w:tab w:val="left" w:pos="7875"/>
          <w:tab w:val="left" w:pos="7935"/>
        </w:tabs>
        <w:rPr>
          <w:b/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D25E2F" w:rsidRPr="00D25E2F">
        <w:rPr>
          <w:b/>
          <w:sz w:val="32"/>
          <w:szCs w:val="32"/>
        </w:rPr>
        <w:t xml:space="preserve"> </w:t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</w:t>
      </w:r>
      <w:r w:rsidR="00D25E2F">
        <w:rPr>
          <w:sz w:val="28"/>
          <w:szCs w:val="28"/>
          <w:lang w:val="en-US"/>
        </w:rPr>
        <w:t>41</w:t>
      </w:r>
      <w:r w:rsidR="00636025" w:rsidRPr="006715AF">
        <w:rPr>
          <w:sz w:val="28"/>
          <w:szCs w:val="28"/>
        </w:rPr>
        <w:t>-</w:t>
      </w:r>
      <w:r w:rsidR="00CA0C4D">
        <w:rPr>
          <w:sz w:val="28"/>
          <w:szCs w:val="28"/>
        </w:rPr>
        <w:t>я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CA0C4D" w:rsidRDefault="00CA0C4D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D25E2F" w:rsidRPr="00D25E2F">
        <w:rPr>
          <w:sz w:val="28"/>
          <w:szCs w:val="28"/>
        </w:rPr>
        <w:t>26</w:t>
      </w:r>
      <w:r w:rsidR="00D25E2F">
        <w:rPr>
          <w:sz w:val="28"/>
          <w:szCs w:val="28"/>
        </w:rPr>
        <w:t>.</w:t>
      </w:r>
      <w:r w:rsidR="00D25E2F" w:rsidRPr="00D25E2F">
        <w:rPr>
          <w:sz w:val="28"/>
          <w:szCs w:val="28"/>
        </w:rPr>
        <w:t>03</w:t>
      </w:r>
      <w:r w:rsidR="00D25E2F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116424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D25E2F">
        <w:rPr>
          <w:sz w:val="28"/>
          <w:szCs w:val="28"/>
        </w:rPr>
        <w:t xml:space="preserve">   </w:t>
      </w:r>
      <w:r w:rsidR="00FF4578">
        <w:rPr>
          <w:sz w:val="28"/>
          <w:szCs w:val="28"/>
        </w:rPr>
        <w:t xml:space="preserve">   </w:t>
      </w:r>
      <w:r w:rsidR="00D25E2F">
        <w:rPr>
          <w:sz w:val="28"/>
          <w:szCs w:val="28"/>
        </w:rPr>
        <w:t>№172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D25E2F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D25E2F" w:rsidRDefault="00D25E2F" w:rsidP="008627B9">
      <w:pPr>
        <w:jc w:val="both"/>
        <w:rPr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D25E2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46D14">
        <w:rPr>
          <w:sz w:val="20"/>
          <w:szCs w:val="20"/>
        </w:rPr>
        <w:t xml:space="preserve"> </w:t>
      </w:r>
      <w:r w:rsidR="00D25E2F">
        <w:rPr>
          <w:sz w:val="20"/>
          <w:szCs w:val="20"/>
        </w:rPr>
        <w:t>172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346D14">
        <w:rPr>
          <w:sz w:val="20"/>
          <w:szCs w:val="20"/>
        </w:rPr>
        <w:t xml:space="preserve"> </w:t>
      </w:r>
      <w:r w:rsidR="00D25E2F">
        <w:rPr>
          <w:sz w:val="20"/>
          <w:szCs w:val="20"/>
        </w:rPr>
        <w:t>26.03.</w:t>
      </w:r>
      <w:r w:rsidR="006B5F86">
        <w:rPr>
          <w:sz w:val="20"/>
          <w:szCs w:val="20"/>
        </w:rPr>
        <w:t>202</w:t>
      </w:r>
      <w:r w:rsidR="00116424">
        <w:rPr>
          <w:sz w:val="20"/>
          <w:szCs w:val="20"/>
        </w:rPr>
        <w:t>4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D25E2F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1164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164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</w:t>
      </w:r>
      <w:r w:rsidR="00D25E2F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116424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 и на плановый период 202</w:t>
      </w:r>
      <w:r w:rsidR="00116424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и 202</w:t>
      </w:r>
      <w:r w:rsidR="00116424">
        <w:rPr>
          <w:sz w:val="28"/>
          <w:szCs w:val="28"/>
        </w:rPr>
        <w:t>6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 xml:space="preserve">57 </w:t>
      </w:r>
      <w:r w:rsidRPr="00F24D70">
        <w:rPr>
          <w:sz w:val="28"/>
          <w:szCs w:val="28"/>
        </w:rPr>
        <w:t>следующие изменения:</w:t>
      </w:r>
    </w:p>
    <w:p w:rsidR="007A1FC1" w:rsidRDefault="007A1FC1" w:rsidP="0095553D">
      <w:pPr>
        <w:jc w:val="both"/>
        <w:rPr>
          <w:sz w:val="28"/>
          <w:szCs w:val="28"/>
        </w:rPr>
      </w:pPr>
    </w:p>
    <w:p w:rsidR="009C36FF" w:rsidRDefault="00116424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36A73">
        <w:rPr>
          <w:sz w:val="28"/>
          <w:szCs w:val="28"/>
        </w:rPr>
        <w:t xml:space="preserve"> 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D25E2F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116424" w:rsidRPr="008627B9" w:rsidRDefault="00116424" w:rsidP="0011642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116424" w:rsidRDefault="00116424" w:rsidP="00116424">
      <w:pPr>
        <w:jc w:val="center"/>
        <w:rPr>
          <w:b/>
          <w:sz w:val="28"/>
          <w:szCs w:val="28"/>
        </w:rPr>
      </w:pPr>
    </w:p>
    <w:p w:rsidR="00116424" w:rsidRPr="00E11BE7" w:rsidRDefault="00116424" w:rsidP="0011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116424" w:rsidRPr="008627B9" w:rsidRDefault="00116424" w:rsidP="0011642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116424" w:rsidRPr="008627B9" w:rsidTr="00116424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9974BC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Default="00116424" w:rsidP="00116424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8 523 298,89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274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647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7</w:t>
            </w:r>
            <w:r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3 158 099,34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3 157 957,75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2 </w:t>
            </w:r>
            <w:r>
              <w:rPr>
                <w:bCs/>
                <w:sz w:val="28"/>
                <w:szCs w:val="28"/>
              </w:rPr>
              <w:t>955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910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32A2E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1 949 108</w:t>
            </w:r>
            <w:r>
              <w:rPr>
                <w:bCs/>
                <w:sz w:val="28"/>
                <w:szCs w:val="28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1 948 966,75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860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</w:tr>
      <w:tr w:rsidR="00116424" w:rsidRPr="008627B9" w:rsidTr="00116424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864BB5" w:rsidRDefault="00116424" w:rsidP="00116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97217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1 556 538,89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323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1 436 215,89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3933A3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3933A3">
              <w:rPr>
                <w:b/>
                <w:bCs/>
                <w:sz w:val="28"/>
                <w:szCs w:val="28"/>
              </w:rPr>
              <w:t>2 0</w:t>
            </w:r>
            <w:r>
              <w:rPr>
                <w:b/>
                <w:bCs/>
                <w:sz w:val="28"/>
                <w:szCs w:val="28"/>
              </w:rPr>
              <w:t>41 </w:t>
            </w:r>
            <w:r w:rsidRPr="003933A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583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175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1 527 090,00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  <w:lang w:val="en-US"/>
              </w:rPr>
              <w:t>583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  <w:lang w:val="en-US"/>
              </w:rPr>
              <w:t>175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</w:rPr>
              <w:t>527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090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A57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A57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A57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A5708" w:rsidRDefault="003A5708" w:rsidP="003A570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A5708" w:rsidRPr="00E11BE7" w:rsidRDefault="003A5708" w:rsidP="003A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3A5708" w:rsidRPr="008627B9" w:rsidRDefault="003A5708" w:rsidP="003A5708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A5708" w:rsidRPr="008627B9" w:rsidTr="003A570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8627B9" w:rsidRDefault="003A5708" w:rsidP="003A570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EB270C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F1F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7F1FE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011</w:t>
            </w:r>
            <w:r w:rsidRPr="007F1FE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7613E3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955 910,00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3A5708" w:rsidRPr="00D4198D" w:rsidTr="003A5708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</w:t>
            </w:r>
            <w:r w:rsidRPr="00D4198D">
              <w:rPr>
                <w:sz w:val="28"/>
                <w:szCs w:val="28"/>
              </w:rPr>
              <w:lastRenderedPageBreak/>
              <w:t xml:space="preserve">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72194B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 w:rsidR="0072194B"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72194B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</w:t>
            </w:r>
            <w:r w:rsidR="0072194B">
              <w:rPr>
                <w:b/>
                <w:sz w:val="28"/>
                <w:szCs w:val="28"/>
              </w:rPr>
              <w:t>36</w:t>
            </w:r>
            <w:r w:rsidRPr="00656729">
              <w:rPr>
                <w:b/>
                <w:sz w:val="28"/>
                <w:szCs w:val="28"/>
              </w:rPr>
              <w:t> 2</w:t>
            </w:r>
            <w:r w:rsidR="0072194B">
              <w:rPr>
                <w:b/>
                <w:sz w:val="28"/>
                <w:szCs w:val="28"/>
              </w:rPr>
              <w:t>15</w:t>
            </w:r>
            <w:r w:rsidRPr="00656729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72194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2</w:t>
            </w:r>
            <w:r w:rsidR="007219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72194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2</w:t>
            </w:r>
            <w:r w:rsidR="007219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2B1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B0F02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</w:p>
    <w:p w:rsidR="0072194B" w:rsidRDefault="0072194B" w:rsidP="0072194B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72194B" w:rsidRPr="008627B9" w:rsidRDefault="0072194B" w:rsidP="0072194B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2194B" w:rsidRPr="008627B9" w:rsidTr="0072194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94B" w:rsidRPr="008627B9" w:rsidRDefault="0072194B" w:rsidP="007219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EB270C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2619F4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2619F4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2619F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2619F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F1FE3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7F1FE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011</w:t>
            </w:r>
            <w:r w:rsidRPr="007F1FE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7613E3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7613E3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955 910,00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0211AF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0211AF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72194B" w:rsidRPr="00D4198D" w:rsidTr="0072194B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</w:t>
            </w:r>
            <w:r>
              <w:rPr>
                <w:b/>
                <w:sz w:val="28"/>
                <w:szCs w:val="28"/>
              </w:rPr>
              <w:t>36</w:t>
            </w:r>
            <w:r w:rsidRPr="00656729">
              <w:rPr>
                <w:b/>
                <w:sz w:val="28"/>
                <w:szCs w:val="28"/>
              </w:rPr>
              <w:t> 2</w:t>
            </w:r>
            <w:r>
              <w:rPr>
                <w:b/>
                <w:sz w:val="28"/>
                <w:szCs w:val="28"/>
              </w:rPr>
              <w:t>15</w:t>
            </w:r>
            <w:r w:rsidRPr="00656729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1 436 215,89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1 436 215,89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2B1E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B0F02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Default="0072194B" w:rsidP="00085DBD"/>
    <w:p w:rsidR="0072194B" w:rsidRDefault="0072194B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2194B" w:rsidRDefault="0072194B" w:rsidP="0072194B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72194B" w:rsidRDefault="0072194B" w:rsidP="0072194B">
      <w:pPr>
        <w:rPr>
          <w:sz w:val="28"/>
          <w:szCs w:val="28"/>
        </w:rPr>
      </w:pPr>
    </w:p>
    <w:p w:rsidR="0072194B" w:rsidRPr="00416DD4" w:rsidRDefault="0072194B" w:rsidP="0072194B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b/>
          <w:sz w:val="26"/>
          <w:szCs w:val="26"/>
        </w:rPr>
        <w:t>4 ГОД И НА ПЛАНОВЫЙ ПЕРИОД 2025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72194B" w:rsidRPr="00416DD4" w:rsidRDefault="0072194B" w:rsidP="0072194B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72194B" w:rsidRPr="00416DD4" w:rsidTr="0072194B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416DD4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72194B" w:rsidRPr="00416DD4" w:rsidTr="0072194B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72194B" w:rsidRPr="00416DD4" w:rsidTr="0072194B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283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</w:rPr>
            </w:pPr>
            <w:r w:rsidRPr="00C837FB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158</w:t>
            </w:r>
            <w:r w:rsidRPr="00C837FB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853</w:t>
            </w:r>
            <w:r w:rsidRPr="00C837F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572 373,89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72194B" w:rsidRPr="00EB6DB7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572 373,89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Pr="00C837FB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323</w:t>
            </w:r>
            <w:r w:rsidRPr="00C837FB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72194B" w:rsidRPr="00B65669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Pr="00C837FB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323</w:t>
            </w:r>
            <w:r w:rsidRPr="00C837FB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72194B" w:rsidRPr="00EB6DB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512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01C8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программного обеспечения </w:t>
            </w:r>
            <w:proofErr w:type="spellStart"/>
            <w:r w:rsidRPr="00E01C83">
              <w:rPr>
                <w:bCs/>
                <w:sz w:val="26"/>
                <w:szCs w:val="26"/>
              </w:rPr>
              <w:t>похозяйственный</w:t>
            </w:r>
            <w:proofErr w:type="spellEnd"/>
            <w:r w:rsidRPr="00E01C83">
              <w:rPr>
                <w:bCs/>
                <w:sz w:val="26"/>
                <w:szCs w:val="26"/>
              </w:rPr>
              <w:t xml:space="preserve"> учет в </w:t>
            </w:r>
            <w:r w:rsidRPr="00E01C83">
              <w:rPr>
                <w:bCs/>
                <w:sz w:val="26"/>
                <w:szCs w:val="26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lastRenderedPageBreak/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72194B" w:rsidRPr="006B0F02" w:rsidRDefault="0072194B" w:rsidP="0072194B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72194B" w:rsidRPr="003861E7" w:rsidRDefault="0072194B" w:rsidP="00721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31DE5" w:rsidRDefault="0072194B" w:rsidP="0072194B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72194B" w:rsidRPr="009E09C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283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4 239 405,00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>
              <w:rPr>
                <w:rFonts w:eastAsia="Times New Roman"/>
                <w:bCs/>
                <w:sz w:val="22"/>
              </w:rPr>
              <w:t>372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723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3 508 181,75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400ED" w:rsidRDefault="0072194B" w:rsidP="0072194B">
            <w:pPr>
              <w:jc w:val="center"/>
              <w:rPr>
                <w:rFonts w:eastAsia="Times New Roman"/>
              </w:rPr>
            </w:pPr>
            <w:r w:rsidRPr="002400ED">
              <w:rPr>
                <w:rFonts w:eastAsia="Times New Roman"/>
                <w:sz w:val="22"/>
              </w:rPr>
              <w:t>3 </w:t>
            </w:r>
            <w:r>
              <w:rPr>
                <w:rFonts w:eastAsia="Times New Roman"/>
                <w:sz w:val="22"/>
              </w:rPr>
              <w:t>192</w:t>
            </w:r>
            <w:r w:rsidRPr="002400E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394</w:t>
            </w:r>
            <w:r w:rsidRPr="002400E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2 325 712,34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2 461 170,75</w:t>
            </w:r>
          </w:p>
        </w:tc>
      </w:tr>
      <w:tr w:rsidR="0072194B" w:rsidRPr="00416DD4" w:rsidTr="0072194B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250 000,00</w:t>
            </w:r>
          </w:p>
        </w:tc>
      </w:tr>
      <w:tr w:rsidR="0072194B" w:rsidRPr="00416DD4" w:rsidTr="0072194B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192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158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</w:tr>
      <w:tr w:rsidR="0072194B" w:rsidRPr="00416DD4" w:rsidTr="0072194B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FF3ACD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142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72194B" w:rsidRPr="00416DD4" w:rsidTr="0072194B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</w:t>
            </w:r>
            <w:r w:rsidRPr="004033CD">
              <w:rPr>
                <w:rFonts w:eastAsia="Times New Roman"/>
                <w:sz w:val="26"/>
                <w:szCs w:val="26"/>
              </w:rPr>
              <w:t>,65</w:t>
            </w:r>
          </w:p>
        </w:tc>
      </w:tr>
      <w:tr w:rsidR="0072194B" w:rsidRPr="00416DD4" w:rsidTr="0072194B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72194B" w:rsidRPr="0026493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72194B" w:rsidRPr="00416DD4" w:rsidTr="0072194B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71AA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571AA3">
              <w:rPr>
                <w:color w:val="000000"/>
                <w:sz w:val="26"/>
                <w:szCs w:val="26"/>
              </w:rPr>
              <w:t>ы</w:t>
            </w:r>
            <w:r w:rsidRPr="00007245">
              <w:rPr>
                <w:bCs/>
                <w:sz w:val="26"/>
                <w:szCs w:val="26"/>
              </w:rPr>
              <w:t>(</w:t>
            </w:r>
            <w:proofErr w:type="gramEnd"/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72194B" w:rsidRPr="00937F51" w:rsidTr="0072194B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  <w:szCs w:val="22"/>
              </w:rPr>
              <w:t>8 </w:t>
            </w:r>
            <w:r>
              <w:rPr>
                <w:rFonts w:eastAsia="Times New Roman"/>
                <w:bCs/>
                <w:sz w:val="22"/>
                <w:szCs w:val="22"/>
              </w:rPr>
              <w:t>523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298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5 020 274,34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5 099 647,75</w:t>
            </w:r>
          </w:p>
        </w:tc>
      </w:tr>
    </w:tbl>
    <w:p w:rsidR="0072194B" w:rsidRPr="00416DD4" w:rsidRDefault="0072194B" w:rsidP="0072194B">
      <w:pPr>
        <w:rPr>
          <w:sz w:val="26"/>
          <w:szCs w:val="26"/>
        </w:rPr>
      </w:pPr>
    </w:p>
    <w:p w:rsidR="0072194B" w:rsidRDefault="0072194B" w:rsidP="00085DBD"/>
    <w:p w:rsidR="0072194B" w:rsidRDefault="0072194B" w:rsidP="00085DBD"/>
    <w:p w:rsidR="0072194B" w:rsidRDefault="0072194B" w:rsidP="00085DBD"/>
    <w:p w:rsidR="0072194B" w:rsidRDefault="0072194B" w:rsidP="00085DBD"/>
    <w:sectPr w:rsidR="0072194B" w:rsidSect="0072194B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316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6424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27FB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16C56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6BE7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708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2194B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57A64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80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47F0D"/>
    <w:rsid w:val="0095200C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87979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2105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0C4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25E2F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278AC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2DC1-35EA-4A48-8E58-0A47447F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2024-03-12T14:12:00Z</cp:lastPrinted>
  <dcterms:created xsi:type="dcterms:W3CDTF">2024-03-13T05:19:00Z</dcterms:created>
  <dcterms:modified xsi:type="dcterms:W3CDTF">2024-03-22T10:18:00Z</dcterms:modified>
</cp:coreProperties>
</file>