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7D60C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B72CC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pt;margin-top:32.25pt;width:53.1pt;height:63.05pt;z-index:251660288">
                  <v:imagedata r:id="rId8" o:title=""/>
                </v:shape>
                <o:OLEObject Type="Embed" ProgID="Photoshop.Image.6" ShapeID="_x0000_s1026" DrawAspect="Content" ObjectID="_1510481953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7D60CC" w:rsidRDefault="007D60C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7D60CC" w:rsidRDefault="007D60C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8377B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  <w:r w:rsidR="008377BE">
              <w:rPr>
                <w:rFonts w:ascii="Times New Roman" w:hAnsi="Times New Roman"/>
                <w:sz w:val="24"/>
              </w:rPr>
              <w:t>0.11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2015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377B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A4623">
              <w:rPr>
                <w:rFonts w:ascii="Times New Roman" w:hAnsi="Times New Roman"/>
                <w:spacing w:val="50"/>
                <w:sz w:val="24"/>
              </w:rPr>
              <w:t>4</w:t>
            </w:r>
            <w:r w:rsidR="008377BE">
              <w:rPr>
                <w:rFonts w:ascii="Times New Roman" w:hAnsi="Times New Roman"/>
                <w:spacing w:val="50"/>
                <w:sz w:val="24"/>
              </w:rPr>
              <w:t>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D60CC" w:rsidP="007D60C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D60CC" w:rsidP="007D60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7D60CC" w:rsidP="007D60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D60CC" w:rsidRDefault="007D60CC" w:rsidP="00C36E1C">
      <w:pPr>
        <w:pStyle w:val="Default"/>
        <w:jc w:val="right"/>
        <w:rPr>
          <w:sz w:val="20"/>
        </w:rPr>
      </w:pPr>
    </w:p>
    <w:p w:rsidR="007D60CC" w:rsidRDefault="007D60CC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2</w:t>
      </w:r>
      <w:r w:rsidR="004334BE">
        <w:rPr>
          <w:sz w:val="22"/>
        </w:rPr>
        <w:t>0</w:t>
      </w:r>
      <w:r>
        <w:rPr>
          <w:sz w:val="22"/>
        </w:rPr>
        <w:t>.</w:t>
      </w:r>
      <w:r w:rsidR="004334BE">
        <w:rPr>
          <w:sz w:val="22"/>
        </w:rPr>
        <w:t>11</w:t>
      </w:r>
      <w:r>
        <w:rPr>
          <w:sz w:val="22"/>
        </w:rPr>
        <w:t>.</w:t>
      </w:r>
      <w:r w:rsidR="00382722">
        <w:rPr>
          <w:sz w:val="22"/>
        </w:rPr>
        <w:t>2015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>
        <w:rPr>
          <w:sz w:val="22"/>
        </w:rPr>
        <w:t>4</w:t>
      </w:r>
      <w:r w:rsidR="004334BE">
        <w:rPr>
          <w:sz w:val="22"/>
        </w:rPr>
        <w:t>7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17 954,3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2 153,0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2 051,6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</w:t>
            </w:r>
            <w:r w:rsidRPr="00BB65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24 708,8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12 030,4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11 169,7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1,6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1 507,1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B32135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3.Протяженность освещенных  частей улиц, проездов, км.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6 703,7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429,1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494 9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397,3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651ED"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8B7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 ремонт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перепланировка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здания общежития в с. Салтычки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B2B" w:rsidRDefault="00A64B2B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 w:rsidR="0017390C"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17390C" w:rsidRPr="0017390C" w:rsidRDefault="0017390C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35408">
        <w:rPr>
          <w:rFonts w:ascii="Times New Roman" w:hAnsi="Times New Roman"/>
          <w:sz w:val="28"/>
          <w:szCs w:val="24"/>
          <w:lang w:eastAsia="ru-RU"/>
        </w:rPr>
        <w:lastRenderedPageBreak/>
        <w:t>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12 030,4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F15CD2">
        <w:rPr>
          <w:rFonts w:ascii="Times New Roman" w:hAnsi="Times New Roman"/>
          <w:sz w:val="28"/>
          <w:szCs w:val="24"/>
          <w:lang w:eastAsia="ru-RU"/>
        </w:rPr>
        <w:t>3</w:t>
      </w:r>
      <w:r w:rsidR="007651ED">
        <w:rPr>
          <w:rFonts w:ascii="Times New Roman" w:hAnsi="Times New Roman"/>
          <w:sz w:val="28"/>
          <w:szCs w:val="24"/>
          <w:lang w:eastAsia="ru-RU"/>
        </w:rPr>
        <w:t xml:space="preserve"> 928,9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7651ED">
        <w:rPr>
          <w:rFonts w:ascii="Times New Roman" w:hAnsi="Times New Roman"/>
          <w:sz w:val="28"/>
          <w:szCs w:val="24"/>
          <w:lang w:eastAsia="ru-RU"/>
        </w:rPr>
        <w:t>2 290,0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,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4</w:t>
      </w:r>
      <w:r w:rsidR="008F3561">
        <w:rPr>
          <w:rFonts w:ascii="Times New Roman" w:hAnsi="Times New Roman"/>
          <w:sz w:val="28"/>
          <w:szCs w:val="24"/>
          <w:lang w:eastAsia="ru-RU"/>
        </w:rPr>
        <w:t>16</w:t>
      </w:r>
      <w:r w:rsidR="00A21B7C">
        <w:rPr>
          <w:rFonts w:ascii="Times New Roman" w:hAnsi="Times New Roman"/>
          <w:sz w:val="28"/>
          <w:szCs w:val="24"/>
          <w:lang w:eastAsia="ru-RU"/>
        </w:rPr>
        <w:t>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10039E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6F4">
        <w:rPr>
          <w:rFonts w:ascii="Times New Roman" w:hAnsi="Times New Roman"/>
          <w:sz w:val="28"/>
          <w:szCs w:val="28"/>
          <w:lang w:eastAsia="ru-RU"/>
        </w:rPr>
        <w:t>) в разделе 5 таблицу изложить в новой редакции:</w:t>
      </w:r>
    </w:p>
    <w:p w:rsidR="00B1781A" w:rsidRPr="00A126F4" w:rsidRDefault="00B1781A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26F4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B1781A" w:rsidRPr="00B1781A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2111,9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971,7</w:t>
            </w:r>
          </w:p>
        </w:tc>
        <w:tc>
          <w:tcPr>
            <w:tcW w:w="407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10039E" w:rsidRPr="004F4378" w:rsidRDefault="0010039E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039E" w:rsidRPr="00A126F4" w:rsidTr="003979E8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10039E" w:rsidRPr="004F4378" w:rsidRDefault="0010039E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10039E" w:rsidRPr="004F4378" w:rsidRDefault="004F4378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4378" w:rsidRPr="00A126F4" w:rsidTr="003979E8">
        <w:tc>
          <w:tcPr>
            <w:tcW w:w="272" w:type="pct"/>
          </w:tcPr>
          <w:p w:rsidR="004F4378" w:rsidRPr="00A126F4" w:rsidRDefault="004F437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4F437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4F4378" w:rsidRPr="004F4378" w:rsidRDefault="004F437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4F437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1 600,9</w:t>
            </w:r>
          </w:p>
        </w:tc>
        <w:tc>
          <w:tcPr>
            <w:tcW w:w="438" w:type="pct"/>
          </w:tcPr>
          <w:p w:rsidR="004F4378" w:rsidRPr="004F4378" w:rsidRDefault="004F4378" w:rsidP="003979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4F4378" w:rsidRPr="004F4378" w:rsidRDefault="003B34E4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407" w:type="pct"/>
          </w:tcPr>
          <w:p w:rsidR="004F4378" w:rsidRPr="004F4378" w:rsidRDefault="00A6271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408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1444F8" w:rsidRPr="00A126F4" w:rsidTr="00E737D9">
        <w:trPr>
          <w:trHeight w:val="859"/>
        </w:trPr>
        <w:tc>
          <w:tcPr>
            <w:tcW w:w="272" w:type="pct"/>
          </w:tcPr>
          <w:p w:rsidR="001444F8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1444F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444F8" w:rsidRPr="004F437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1444F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444F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1444F8" w:rsidRDefault="001444F8">
            <w:r>
              <w:t>0,00</w:t>
            </w:r>
          </w:p>
        </w:tc>
        <w:tc>
          <w:tcPr>
            <w:tcW w:w="408" w:type="pct"/>
          </w:tcPr>
          <w:p w:rsidR="001444F8" w:rsidRDefault="001444F8" w:rsidP="00CC6D91">
            <w:r>
              <w:t>0,00</w:t>
            </w:r>
          </w:p>
        </w:tc>
        <w:tc>
          <w:tcPr>
            <w:tcW w:w="407" w:type="pct"/>
          </w:tcPr>
          <w:p w:rsidR="001444F8" w:rsidRDefault="001444F8" w:rsidP="00CC6D91">
            <w:r>
              <w:t>0,00</w:t>
            </w:r>
          </w:p>
        </w:tc>
        <w:tc>
          <w:tcPr>
            <w:tcW w:w="405" w:type="pct"/>
          </w:tcPr>
          <w:p w:rsidR="001444F8" w:rsidRDefault="001444F8" w:rsidP="00CC6D91">
            <w:r>
              <w:t>0,00</w:t>
            </w:r>
          </w:p>
        </w:tc>
        <w:tc>
          <w:tcPr>
            <w:tcW w:w="406" w:type="pct"/>
          </w:tcPr>
          <w:p w:rsidR="001444F8" w:rsidRDefault="001444F8" w:rsidP="00CC6D91">
            <w:r>
              <w:t>0,00</w:t>
            </w:r>
          </w:p>
        </w:tc>
      </w:tr>
      <w:tr w:rsidR="001444F8" w:rsidRPr="00A126F4" w:rsidTr="00E737D9">
        <w:trPr>
          <w:trHeight w:val="417"/>
        </w:trPr>
        <w:tc>
          <w:tcPr>
            <w:tcW w:w="272" w:type="pct"/>
          </w:tcPr>
          <w:p w:rsidR="001444F8" w:rsidRPr="00F67A34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pct"/>
          </w:tcPr>
          <w:p w:rsidR="001444F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1444F8" w:rsidRPr="003416C2" w:rsidRDefault="003416C2" w:rsidP="0034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</w:t>
            </w:r>
            <w:r w:rsidR="00FC7BF5">
              <w:rPr>
                <w:sz w:val="20"/>
                <w:szCs w:val="20"/>
              </w:rPr>
              <w:t xml:space="preserve"> уход за клумбами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354A7D" w:rsidRDefault="004F0EC7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  <w:p w:rsidR="00354A7D" w:rsidRDefault="00354A7D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3416C2" w:rsidRDefault="003416C2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90,7</w:t>
            </w:r>
          </w:p>
          <w:p w:rsidR="001444F8" w:rsidRDefault="001444F8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B66D3"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  <w:p w:rsid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P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354A7D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354A7D" w:rsidRDefault="00354A7D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54A7D">
              <w:rPr>
                <w:rFonts w:ascii="Times New Roman" w:hAnsi="Times New Roman"/>
                <w:sz w:val="20"/>
                <w:szCs w:val="20"/>
                <w:lang w:eastAsia="ru-RU"/>
              </w:rPr>
              <w:t>08,7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44F8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C7BF5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7BF5" w:rsidRPr="003416C2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7F63D0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3B34E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  <w:p w:rsidR="007F63D0" w:rsidRDefault="007F63D0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63D0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7F63D0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1444F8" w:rsidRDefault="001444F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</w:t>
            </w:r>
          </w:p>
          <w:p w:rsidR="00552907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907" w:rsidRPr="00552907" w:rsidRDefault="005B66D3" w:rsidP="005529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62712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A34" w:rsidRPr="00A126F4" w:rsidTr="00F67A34">
        <w:trPr>
          <w:trHeight w:val="816"/>
        </w:trPr>
        <w:tc>
          <w:tcPr>
            <w:tcW w:w="272" w:type="pct"/>
          </w:tcPr>
          <w:p w:rsidR="00F67A34" w:rsidRPr="00F67A34" w:rsidRDefault="00F67A3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67A34" w:rsidRPr="004F4378" w:rsidRDefault="00F67A3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67A34" w:rsidRPr="004F4378" w:rsidRDefault="00F93AA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2 861,0</w:t>
            </w:r>
          </w:p>
        </w:tc>
        <w:tc>
          <w:tcPr>
            <w:tcW w:w="438" w:type="pct"/>
          </w:tcPr>
          <w:p w:rsidR="00F67A34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F67A34" w:rsidRPr="004F4378" w:rsidRDefault="003B34E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2478,2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451" w:rsidRPr="00A126F4" w:rsidTr="00E737D9">
        <w:trPr>
          <w:trHeight w:val="834"/>
        </w:trPr>
        <w:tc>
          <w:tcPr>
            <w:tcW w:w="272" w:type="pct"/>
          </w:tcPr>
          <w:p w:rsidR="00D67451" w:rsidRPr="00A126F4" w:rsidRDefault="00D67451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D67451" w:rsidRPr="004F4378" w:rsidRDefault="00D67451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D67451" w:rsidRPr="004F4378" w:rsidRDefault="007651ED" w:rsidP="004F0E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12 030,4</w:t>
            </w:r>
          </w:p>
        </w:tc>
        <w:tc>
          <w:tcPr>
            <w:tcW w:w="438" w:type="pct"/>
          </w:tcPr>
          <w:p w:rsidR="00D67451" w:rsidRPr="004F4378" w:rsidRDefault="00D67451" w:rsidP="00E958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D67451" w:rsidRPr="004F4378" w:rsidRDefault="003B34E4" w:rsidP="00A21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3928,9</w:t>
            </w:r>
          </w:p>
        </w:tc>
        <w:tc>
          <w:tcPr>
            <w:tcW w:w="407" w:type="pct"/>
          </w:tcPr>
          <w:p w:rsidR="00D67451" w:rsidRPr="004F4378" w:rsidRDefault="003B34E4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408" w:type="pct"/>
          </w:tcPr>
          <w:p w:rsidR="00D67451" w:rsidRPr="004F4378" w:rsidRDefault="001444F8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D67451" w:rsidRPr="004F4378" w:rsidRDefault="003B34E4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F63C94" w:rsidRDefault="00F63C94" w:rsidP="0050403B">
      <w:pPr>
        <w:rPr>
          <w:rFonts w:ascii="Times New Roman" w:hAnsi="Times New Roman"/>
          <w:sz w:val="28"/>
          <w:szCs w:val="24"/>
          <w:lang w:eastAsia="ru-RU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980,9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603,1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627,2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</w:tc>
      </w:tr>
    </w:tbl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1 169,7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603,1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A6271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9845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1 504,7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66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9845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1 603,1</w:t>
            </w:r>
          </w:p>
        </w:tc>
        <w:tc>
          <w:tcPr>
            <w:tcW w:w="1066" w:type="dxa"/>
          </w:tcPr>
          <w:p w:rsidR="00334124" w:rsidRPr="00715A20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627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E34222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268,1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Default="00F82E3B" w:rsidP="00F82E3B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82E3B" w:rsidRPr="00F82E3B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E048F5">
        <w:trPr>
          <w:trHeight w:val="774"/>
        </w:trPr>
        <w:tc>
          <w:tcPr>
            <w:tcW w:w="4219" w:type="dxa"/>
          </w:tcPr>
          <w:p w:rsidR="00F82E3B" w:rsidRPr="00A05810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E048F5">
        <w:tc>
          <w:tcPr>
            <w:tcW w:w="4219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A958B1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23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A05810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  <w:bookmarkStart w:id="0" w:name="_GoBack"/>
      <w:bookmarkEnd w:id="0"/>
    </w:p>
    <w:p w:rsidR="00A05810" w:rsidRDefault="00A05810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Объемы финансирования программных </w:t>
      </w:r>
      <w:r w:rsidR="009309C2">
        <w:rPr>
          <w:rFonts w:ascii="Times New Roman" w:hAnsi="Times New Roman"/>
          <w:sz w:val="28"/>
          <w:szCs w:val="28"/>
          <w:lang w:eastAsia="ru-RU"/>
        </w:rPr>
        <w:t>мероприятий на 2014 год составят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382722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24708,8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5874,3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3944,3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1427,8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17954,3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2153,0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2051,6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3928,9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1F54D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6703,7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FB425A" w:rsidP="00DC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11169,7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1603,1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10980,9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FB425A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3F2668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FB42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36067B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6067B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63"/>
        <w:gridCol w:w="3139"/>
        <w:gridCol w:w="747"/>
        <w:gridCol w:w="751"/>
        <w:gridCol w:w="1646"/>
        <w:gridCol w:w="1046"/>
        <w:gridCol w:w="1049"/>
        <w:gridCol w:w="898"/>
        <w:gridCol w:w="1046"/>
        <w:gridCol w:w="1049"/>
        <w:gridCol w:w="1046"/>
        <w:gridCol w:w="1046"/>
        <w:gridCol w:w="1043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D34976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A42A8B">
              <w:rPr>
                <w:b/>
                <w:szCs w:val="24"/>
              </w:rPr>
              <w:t>954,3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D349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2153,0</w:t>
            </w:r>
          </w:p>
        </w:tc>
        <w:tc>
          <w:tcPr>
            <w:tcW w:w="347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2051,6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D3497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6703,7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D34976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494,9</w:t>
            </w:r>
          </w:p>
        </w:tc>
        <w:tc>
          <w:tcPr>
            <w:tcW w:w="347" w:type="pct"/>
          </w:tcPr>
          <w:p w:rsidR="00D44C91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сельского поселения»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D535C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7369FF">
              <w:rPr>
                <w:sz w:val="20"/>
              </w:rPr>
              <w:t>Закольцовка водопровода по ул. Железнодорожная</w:t>
            </w:r>
            <w:r>
              <w:rPr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1727BA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2011,5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1727BA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BA2DE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325,5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1727BA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661,4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1727BA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A31D24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BA2DEA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A2DEA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BA2DE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Pr="002450D3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Default="001727B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394,1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030096" w:rsidRDefault="001727BA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Default="00BA2DE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BA2DE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B943D8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42A8B">
              <w:rPr>
                <w:b/>
                <w:szCs w:val="24"/>
              </w:rPr>
              <w:t>980</w:t>
            </w:r>
            <w:r>
              <w:rPr>
                <w:b/>
                <w:szCs w:val="24"/>
              </w:rPr>
              <w:t>,9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1727BA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1603,1</w:t>
            </w:r>
          </w:p>
        </w:tc>
        <w:tc>
          <w:tcPr>
            <w:tcW w:w="347" w:type="pct"/>
          </w:tcPr>
          <w:p w:rsidR="002F2C4A" w:rsidRPr="00ED4D3F" w:rsidRDefault="001727B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144,4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835,4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B943D8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1504,7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1504,7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3.1.Расходы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</w:t>
            </w:r>
            <w:r>
              <w:rPr>
                <w:color w:val="000000"/>
                <w:szCs w:val="28"/>
              </w:rPr>
              <w:lastRenderedPageBreak/>
              <w:t>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268,1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 xml:space="preserve">«Мероприятия по подготовке </w:t>
            </w:r>
            <w:r w:rsidRPr="00D846F8">
              <w:rPr>
                <w:b/>
                <w:sz w:val="20"/>
                <w:szCs w:val="24"/>
              </w:rPr>
              <w:lastRenderedPageBreak/>
              <w:t>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18" w:rsidRDefault="00CF7318" w:rsidP="009744EF">
      <w:pPr>
        <w:spacing w:after="0" w:line="240" w:lineRule="auto"/>
      </w:pPr>
      <w:r>
        <w:separator/>
      </w:r>
    </w:p>
  </w:endnote>
  <w:endnote w:type="continuationSeparator" w:id="0">
    <w:p w:rsidR="00CF7318" w:rsidRDefault="00CF7318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18" w:rsidRDefault="00CF7318" w:rsidP="009744EF">
      <w:pPr>
        <w:spacing w:after="0" w:line="240" w:lineRule="auto"/>
      </w:pPr>
      <w:r>
        <w:separator/>
      </w:r>
    </w:p>
  </w:footnote>
  <w:footnote w:type="continuationSeparator" w:id="0">
    <w:p w:rsidR="00CF7318" w:rsidRDefault="00CF7318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FC2"/>
    <w:rsid w:val="00014FC0"/>
    <w:rsid w:val="00023C4E"/>
    <w:rsid w:val="00055D16"/>
    <w:rsid w:val="00056D04"/>
    <w:rsid w:val="000873ED"/>
    <w:rsid w:val="00091E58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422AE"/>
    <w:rsid w:val="001444F8"/>
    <w:rsid w:val="00147658"/>
    <w:rsid w:val="00150291"/>
    <w:rsid w:val="00156C13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782C"/>
    <w:rsid w:val="002C18E2"/>
    <w:rsid w:val="002C52D0"/>
    <w:rsid w:val="002C650F"/>
    <w:rsid w:val="002E2DD4"/>
    <w:rsid w:val="002F2C4A"/>
    <w:rsid w:val="003021F6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4198B"/>
    <w:rsid w:val="00543A8D"/>
    <w:rsid w:val="005459AF"/>
    <w:rsid w:val="00551E8E"/>
    <w:rsid w:val="00552907"/>
    <w:rsid w:val="00555962"/>
    <w:rsid w:val="00556123"/>
    <w:rsid w:val="00576FC0"/>
    <w:rsid w:val="00580277"/>
    <w:rsid w:val="005B4903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A3783"/>
    <w:rsid w:val="007A4623"/>
    <w:rsid w:val="007B2359"/>
    <w:rsid w:val="007C0FFB"/>
    <w:rsid w:val="007C2701"/>
    <w:rsid w:val="007D4F9F"/>
    <w:rsid w:val="007D60B2"/>
    <w:rsid w:val="007D60CC"/>
    <w:rsid w:val="007D6552"/>
    <w:rsid w:val="007E1F0C"/>
    <w:rsid w:val="007E1FC4"/>
    <w:rsid w:val="007F63D0"/>
    <w:rsid w:val="007F7F48"/>
    <w:rsid w:val="00803D9B"/>
    <w:rsid w:val="00826E95"/>
    <w:rsid w:val="00836866"/>
    <w:rsid w:val="008377BE"/>
    <w:rsid w:val="008433C7"/>
    <w:rsid w:val="00850DC1"/>
    <w:rsid w:val="008612FF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666C"/>
    <w:rsid w:val="009309C2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C1FFA"/>
    <w:rsid w:val="009C254B"/>
    <w:rsid w:val="009C7F1E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57F55"/>
    <w:rsid w:val="00B60ED0"/>
    <w:rsid w:val="00B652D6"/>
    <w:rsid w:val="00B67AAA"/>
    <w:rsid w:val="00B72CC1"/>
    <w:rsid w:val="00B92956"/>
    <w:rsid w:val="00B943D8"/>
    <w:rsid w:val="00B95039"/>
    <w:rsid w:val="00BA2DEA"/>
    <w:rsid w:val="00BA39DD"/>
    <w:rsid w:val="00BA47DD"/>
    <w:rsid w:val="00BB11DF"/>
    <w:rsid w:val="00BB4F2D"/>
    <w:rsid w:val="00BB65F0"/>
    <w:rsid w:val="00BD3BAC"/>
    <w:rsid w:val="00BE382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53C9E"/>
    <w:rsid w:val="00C82AD9"/>
    <w:rsid w:val="00C90A81"/>
    <w:rsid w:val="00C95FDA"/>
    <w:rsid w:val="00CB41C4"/>
    <w:rsid w:val="00CC1FD9"/>
    <w:rsid w:val="00CC59D9"/>
    <w:rsid w:val="00CC6D91"/>
    <w:rsid w:val="00CD4EF3"/>
    <w:rsid w:val="00CF6E01"/>
    <w:rsid w:val="00CF7318"/>
    <w:rsid w:val="00D0566A"/>
    <w:rsid w:val="00D10CEB"/>
    <w:rsid w:val="00D23206"/>
    <w:rsid w:val="00D31DE9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E048F5"/>
    <w:rsid w:val="00E0618C"/>
    <w:rsid w:val="00E15D89"/>
    <w:rsid w:val="00E240BC"/>
    <w:rsid w:val="00E31575"/>
    <w:rsid w:val="00E31E1C"/>
    <w:rsid w:val="00E34222"/>
    <w:rsid w:val="00E505BF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7305-51AB-4A7E-BF9D-4F1E6DE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2</cp:revision>
  <cp:lastPrinted>2015-10-15T11:43:00Z</cp:lastPrinted>
  <dcterms:created xsi:type="dcterms:W3CDTF">2015-12-01T10:33:00Z</dcterms:created>
  <dcterms:modified xsi:type="dcterms:W3CDTF">2015-12-01T10:33:00Z</dcterms:modified>
</cp:coreProperties>
</file>