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76" w:rsidRPr="00483D5A" w:rsidRDefault="00E47F76" w:rsidP="00E47F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-393700</wp:posOffset>
            </wp:positionV>
            <wp:extent cx="560070" cy="66103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76" w:rsidRPr="00483D5A" w:rsidRDefault="00E47F76" w:rsidP="00E47F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7F76" w:rsidRPr="00483D5A" w:rsidRDefault="00E47F76" w:rsidP="00E47F76">
      <w:pPr>
        <w:jc w:val="center"/>
        <w:rPr>
          <w:rFonts w:ascii="Times New Roman" w:hAnsi="Times New Roman"/>
          <w:b/>
          <w:sz w:val="28"/>
          <w:szCs w:val="28"/>
        </w:rPr>
      </w:pPr>
      <w:r w:rsidRPr="00483D5A">
        <w:rPr>
          <w:rFonts w:ascii="Times New Roman" w:hAnsi="Times New Roman"/>
          <w:b/>
          <w:sz w:val="28"/>
          <w:szCs w:val="28"/>
        </w:rPr>
        <w:t>ПОСТАНОВЛЕНИЕ</w:t>
      </w:r>
    </w:p>
    <w:p w:rsidR="00E47F76" w:rsidRPr="00483D5A" w:rsidRDefault="00E47F76" w:rsidP="00E47F76">
      <w:pPr>
        <w:jc w:val="center"/>
        <w:rPr>
          <w:rFonts w:ascii="Times New Roman" w:hAnsi="Times New Roman"/>
          <w:b/>
          <w:sz w:val="28"/>
          <w:szCs w:val="28"/>
        </w:rPr>
      </w:pPr>
      <w:r w:rsidRPr="00483D5A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47F76" w:rsidRPr="00483D5A" w:rsidRDefault="00E47F76" w:rsidP="00E47F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3D5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483D5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47F76" w:rsidRPr="00483D5A" w:rsidRDefault="00E47F76" w:rsidP="00E47F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3D5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3D5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47F76" w:rsidRPr="00483D5A" w:rsidRDefault="00E47F76" w:rsidP="00E47F76">
      <w:pPr>
        <w:jc w:val="center"/>
        <w:rPr>
          <w:rFonts w:ascii="Times New Roman" w:hAnsi="Times New Roman"/>
          <w:sz w:val="28"/>
          <w:szCs w:val="28"/>
        </w:rPr>
      </w:pPr>
      <w:r w:rsidRPr="00483D5A">
        <w:rPr>
          <w:rFonts w:ascii="Times New Roman" w:hAnsi="Times New Roman"/>
          <w:sz w:val="28"/>
          <w:szCs w:val="28"/>
        </w:rPr>
        <w:t>Российской Федерации</w:t>
      </w:r>
    </w:p>
    <w:p w:rsidR="00E47F76" w:rsidRPr="00483D5A" w:rsidRDefault="00E47F76" w:rsidP="00E47F7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47F76" w:rsidRPr="00483D5A" w:rsidRDefault="00E47F76" w:rsidP="00E47F76">
      <w:pPr>
        <w:tabs>
          <w:tab w:val="left" w:pos="65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08.08.2023                 </w:t>
      </w:r>
      <w:proofErr w:type="spellStart"/>
      <w:r w:rsidRPr="00483D5A">
        <w:rPr>
          <w:rFonts w:ascii="Times New Roman" w:hAnsi="Times New Roman"/>
          <w:sz w:val="28"/>
          <w:szCs w:val="28"/>
        </w:rPr>
        <w:t>ж.д.ст</w:t>
      </w:r>
      <w:proofErr w:type="gramStart"/>
      <w:r w:rsidRPr="00483D5A">
        <w:rPr>
          <w:rFonts w:ascii="Times New Roman" w:hAnsi="Times New Roman"/>
          <w:sz w:val="28"/>
          <w:szCs w:val="28"/>
        </w:rPr>
        <w:t>.Х</w:t>
      </w:r>
      <w:proofErr w:type="gramEnd"/>
      <w:r w:rsidRPr="00483D5A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483D5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3D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48</w:t>
      </w:r>
    </w:p>
    <w:p w:rsidR="00E47F76" w:rsidRPr="00483D5A" w:rsidRDefault="00E47F76" w:rsidP="00E47F7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E47F76" w:rsidRPr="00FE28D0" w:rsidRDefault="00E47F76" w:rsidP="00E47F7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E28D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 утверждении</w:t>
      </w:r>
      <w:r w:rsidRPr="00FE28D0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FE28D0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FE28D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E28D0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E47F76" w:rsidRPr="00207650" w:rsidRDefault="00E47F76" w:rsidP="00E47F76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FE28D0">
        <w:rPr>
          <w:sz w:val="28"/>
          <w:szCs w:val="24"/>
        </w:rPr>
        <w:t xml:space="preserve">поселения </w:t>
      </w:r>
      <w:proofErr w:type="spellStart"/>
      <w:r w:rsidRPr="00FE28D0">
        <w:rPr>
          <w:sz w:val="28"/>
          <w:szCs w:val="24"/>
        </w:rPr>
        <w:t>Хворостянский</w:t>
      </w:r>
      <w:proofErr w:type="spellEnd"/>
      <w:r w:rsidRPr="00FE28D0">
        <w:rPr>
          <w:sz w:val="28"/>
          <w:szCs w:val="24"/>
        </w:rPr>
        <w:t xml:space="preserve"> сельсовет </w:t>
      </w:r>
      <w:r w:rsidRPr="00207650">
        <w:rPr>
          <w:sz w:val="28"/>
          <w:szCs w:val="28"/>
        </w:rPr>
        <w:t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 w:rsidRPr="00207650">
        <w:rPr>
          <w:sz w:val="28"/>
          <w:szCs w:val="28"/>
        </w:rPr>
        <w:t>на 2023 – 2030 годы</w:t>
      </w:r>
    </w:p>
    <w:p w:rsidR="00E47F76" w:rsidRPr="00FE28D0" w:rsidRDefault="00E47F76" w:rsidP="00E47F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8D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E47F76" w:rsidRPr="00207650" w:rsidRDefault="00E47F76" w:rsidP="00E47F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8D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207650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 от 23 ноября 2009 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20765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11 февраля 2021 г. № 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</w:t>
      </w:r>
      <w:proofErr w:type="gramEnd"/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Федерации» администрация сельского поселения </w:t>
      </w:r>
      <w:proofErr w:type="spellStart"/>
      <w:r w:rsidRPr="00207650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E47F76" w:rsidRPr="00FE28D0" w:rsidRDefault="00E47F76" w:rsidP="00E47F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47F76" w:rsidRPr="00FE28D0" w:rsidRDefault="00E47F76" w:rsidP="00E47F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8D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FE28D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7F76" w:rsidRPr="00FE28D0" w:rsidRDefault="00E47F76" w:rsidP="00E47F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F76" w:rsidRPr="00207650" w:rsidRDefault="00E47F76" w:rsidP="00E47F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207650">
        <w:rPr>
          <w:rFonts w:ascii="Times New Roman" w:hAnsi="Times New Roman" w:cs="Times New Roman"/>
          <w:b w:val="0"/>
          <w:sz w:val="28"/>
          <w:szCs w:val="28"/>
        </w:rPr>
        <w:t xml:space="preserve">1.Утвердить муниципальную программу </w:t>
      </w:r>
      <w:r w:rsidRPr="00207650">
        <w:rPr>
          <w:rFonts w:ascii="Times New Roman" w:hAnsi="Times New Roman" w:cs="Times New Roman"/>
          <w:b w:val="0"/>
          <w:sz w:val="28"/>
          <w:szCs w:val="24"/>
        </w:rPr>
        <w:t>сельского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207650">
        <w:rPr>
          <w:rFonts w:ascii="Times New Roman" w:hAnsi="Times New Roman" w:cs="Times New Roman"/>
          <w:b w:val="0"/>
          <w:sz w:val="28"/>
          <w:szCs w:val="24"/>
        </w:rPr>
        <w:t xml:space="preserve">поселения </w:t>
      </w:r>
      <w:proofErr w:type="spellStart"/>
      <w:r w:rsidRPr="00207650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207650">
        <w:rPr>
          <w:rFonts w:ascii="Times New Roman" w:hAnsi="Times New Roman" w:cs="Times New Roman"/>
          <w:b w:val="0"/>
          <w:sz w:val="28"/>
          <w:szCs w:val="24"/>
        </w:rPr>
        <w:t xml:space="preserve"> сельсовет </w:t>
      </w:r>
      <w:r w:rsidRPr="00876CF5"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эффективности» на 2023 – 2030 годы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согласно </w:t>
      </w:r>
      <w:r w:rsidRPr="00207650">
        <w:rPr>
          <w:rFonts w:ascii="Times New Roman" w:hAnsi="Times New Roman" w:cs="Times New Roman"/>
          <w:b w:val="0"/>
          <w:sz w:val="28"/>
          <w:szCs w:val="24"/>
        </w:rPr>
        <w:t>приложени</w:t>
      </w:r>
      <w:r>
        <w:rPr>
          <w:rFonts w:ascii="Times New Roman" w:hAnsi="Times New Roman" w:cs="Times New Roman"/>
          <w:b w:val="0"/>
          <w:sz w:val="28"/>
          <w:szCs w:val="24"/>
        </w:rPr>
        <w:t>ю</w:t>
      </w:r>
      <w:r w:rsidRPr="00207650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E47F76" w:rsidRPr="00FE28D0" w:rsidRDefault="00E47F76" w:rsidP="00E47F76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8D0"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</w:t>
      </w:r>
      <w:r w:rsidR="006B02B9" w:rsidRPr="006B02B9">
        <w:rPr>
          <w:rFonts w:ascii="Times New Roman" w:hAnsi="Times New Roman"/>
          <w:sz w:val="28"/>
          <w:szCs w:val="28"/>
        </w:rPr>
        <w:t xml:space="preserve"> </w:t>
      </w:r>
      <w:r w:rsidR="006B02B9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01.01.2023года</w:t>
      </w:r>
      <w:r w:rsidRPr="00FE28D0">
        <w:rPr>
          <w:rFonts w:ascii="Times New Roman" w:hAnsi="Times New Roman"/>
          <w:sz w:val="28"/>
          <w:szCs w:val="28"/>
        </w:rPr>
        <w:t>.</w:t>
      </w:r>
    </w:p>
    <w:p w:rsidR="00E47F76" w:rsidRPr="00FE28D0" w:rsidRDefault="00E47F76" w:rsidP="00E47F76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8D0">
        <w:rPr>
          <w:rFonts w:ascii="Times New Roman" w:hAnsi="Times New Roman"/>
          <w:sz w:val="28"/>
          <w:szCs w:val="28"/>
        </w:rPr>
        <w:t>3.</w:t>
      </w:r>
      <w:proofErr w:type="gramStart"/>
      <w:r w:rsidRPr="00FE2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28D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47F76" w:rsidRDefault="00E47F76" w:rsidP="00E47F76">
      <w:pPr>
        <w:rPr>
          <w:rFonts w:ascii="Times New Roman" w:hAnsi="Times New Roman"/>
          <w:sz w:val="28"/>
          <w:szCs w:val="28"/>
        </w:rPr>
      </w:pPr>
    </w:p>
    <w:p w:rsidR="00E47F76" w:rsidRDefault="00E47F76" w:rsidP="00E47F76">
      <w:pPr>
        <w:rPr>
          <w:rFonts w:ascii="Times New Roman" w:hAnsi="Times New Roman"/>
          <w:sz w:val="28"/>
          <w:szCs w:val="28"/>
        </w:rPr>
      </w:pPr>
    </w:p>
    <w:p w:rsidR="00E47F76" w:rsidRPr="00FE28D0" w:rsidRDefault="00E47F76" w:rsidP="00E47F76">
      <w:pPr>
        <w:rPr>
          <w:rFonts w:ascii="Times New Roman" w:hAnsi="Times New Roman"/>
          <w:sz w:val="28"/>
          <w:szCs w:val="28"/>
        </w:rPr>
      </w:pPr>
      <w:r w:rsidRPr="00FE28D0">
        <w:rPr>
          <w:rFonts w:ascii="Times New Roman" w:hAnsi="Times New Roman"/>
          <w:sz w:val="28"/>
          <w:szCs w:val="28"/>
        </w:rPr>
        <w:t>Глава администрации</w:t>
      </w:r>
    </w:p>
    <w:p w:rsidR="00E47F76" w:rsidRPr="00FE28D0" w:rsidRDefault="00E47F76" w:rsidP="00E47F76">
      <w:pPr>
        <w:rPr>
          <w:rFonts w:ascii="Times New Roman" w:hAnsi="Times New Roman"/>
          <w:sz w:val="28"/>
          <w:szCs w:val="28"/>
        </w:rPr>
      </w:pPr>
      <w:r w:rsidRPr="00FE28D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47F76" w:rsidRPr="00FE28D0" w:rsidRDefault="00E47F76" w:rsidP="00E47F76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proofErr w:type="spellStart"/>
      <w:r w:rsidRPr="00FE28D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FE28D0">
        <w:rPr>
          <w:rFonts w:ascii="Times New Roman" w:hAnsi="Times New Roman"/>
          <w:sz w:val="28"/>
          <w:szCs w:val="28"/>
        </w:rPr>
        <w:t xml:space="preserve"> сельсовет                   </w:t>
      </w:r>
      <w:r w:rsidR="00C174AA">
        <w:rPr>
          <w:rFonts w:ascii="Times New Roman" w:hAnsi="Times New Roman"/>
          <w:sz w:val="28"/>
          <w:szCs w:val="28"/>
        </w:rPr>
        <w:t xml:space="preserve">              </w:t>
      </w:r>
      <w:r w:rsidRPr="00FE28D0">
        <w:rPr>
          <w:rFonts w:ascii="Times New Roman" w:hAnsi="Times New Roman"/>
          <w:sz w:val="28"/>
          <w:szCs w:val="28"/>
        </w:rPr>
        <w:t xml:space="preserve">      В.Г. Курилов</w:t>
      </w:r>
    </w:p>
    <w:p w:rsidR="00E47F76" w:rsidRPr="00FE28D0" w:rsidRDefault="00E47F76" w:rsidP="00E47F76">
      <w:pPr>
        <w:pStyle w:val="Default"/>
        <w:jc w:val="right"/>
        <w:rPr>
          <w:sz w:val="20"/>
        </w:rPr>
      </w:pPr>
    </w:p>
    <w:p w:rsidR="00E47F76" w:rsidRDefault="00E47F76" w:rsidP="00E47F76">
      <w:pPr>
        <w:pStyle w:val="Default"/>
        <w:jc w:val="right"/>
        <w:rPr>
          <w:sz w:val="20"/>
        </w:rPr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Default="00E47F76" w:rsidP="00E47F76">
      <w:pPr>
        <w:ind w:left="4502"/>
        <w:jc w:val="center"/>
      </w:pPr>
    </w:p>
    <w:p w:rsidR="00E47F76" w:rsidRPr="007550D8" w:rsidRDefault="00E47F76" w:rsidP="00E47F76">
      <w:pPr>
        <w:ind w:left="4502"/>
        <w:jc w:val="center"/>
      </w:pPr>
      <w:r w:rsidRPr="007550D8">
        <w:t>УТВЕРЖДЕНА</w:t>
      </w:r>
    </w:p>
    <w:p w:rsidR="00E47F76" w:rsidRPr="007550D8" w:rsidRDefault="00E47F76" w:rsidP="00E47F76">
      <w:pPr>
        <w:ind w:left="4536" w:firstLine="0"/>
        <w:jc w:val="center"/>
      </w:pPr>
      <w:r w:rsidRPr="007550D8">
        <w:t xml:space="preserve">постановлением администрации сельского поселения </w:t>
      </w:r>
      <w:proofErr w:type="spellStart"/>
      <w:r w:rsidRPr="007550D8">
        <w:t>Хворостянский</w:t>
      </w:r>
      <w:proofErr w:type="spellEnd"/>
      <w:r w:rsidRPr="007550D8">
        <w:t xml:space="preserve"> сельсовет </w:t>
      </w:r>
      <w:proofErr w:type="spellStart"/>
      <w:r w:rsidRPr="007550D8">
        <w:t>Добринского</w:t>
      </w:r>
      <w:proofErr w:type="spellEnd"/>
      <w:r w:rsidRPr="007550D8">
        <w:t xml:space="preserve"> муниципального района Липецкой области</w:t>
      </w:r>
    </w:p>
    <w:p w:rsidR="00E47F76" w:rsidRPr="007550D8" w:rsidRDefault="00E47F76" w:rsidP="00E47F76">
      <w:pPr>
        <w:ind w:left="4536" w:firstLine="0"/>
        <w:jc w:val="center"/>
      </w:pPr>
      <w:r w:rsidRPr="007550D8">
        <w:t>Российской Федерации</w:t>
      </w:r>
    </w:p>
    <w:p w:rsidR="00E47F76" w:rsidRPr="007550D8" w:rsidRDefault="00E47F76" w:rsidP="00E47F76">
      <w:pPr>
        <w:ind w:left="4502"/>
      </w:pPr>
      <w:r>
        <w:t xml:space="preserve">      </w:t>
      </w:r>
      <w:r w:rsidRPr="007550D8">
        <w:t xml:space="preserve">от </w:t>
      </w:r>
      <w:r>
        <w:t>08.08.2023</w:t>
      </w:r>
      <w:r w:rsidRPr="007550D8">
        <w:t xml:space="preserve"> г.  № </w:t>
      </w:r>
      <w:r>
        <w:t>48</w:t>
      </w: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74752" w:rsidRDefault="00E47F76" w:rsidP="00E47F76">
      <w:pPr>
        <w:jc w:val="center"/>
        <w:rPr>
          <w:rFonts w:ascii="Times New Roman" w:hAnsi="Times New Roman"/>
          <w:b/>
          <w:sz w:val="40"/>
          <w:szCs w:val="40"/>
        </w:rPr>
      </w:pPr>
      <w:r w:rsidRPr="00774752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  <w:r w:rsidRPr="007550D8">
        <w:t>«Энергосбережение и повышение энергетической эффективности»</w:t>
      </w:r>
    </w:p>
    <w:p w:rsidR="00E47F76" w:rsidRPr="007550D8" w:rsidRDefault="00E47F76" w:rsidP="00E47F76">
      <w:pPr>
        <w:pStyle w:val="2"/>
        <w:shd w:val="clear" w:color="auto" w:fill="auto"/>
        <w:spacing w:before="0"/>
      </w:pPr>
      <w:bookmarkStart w:id="0" w:name="sub_610"/>
      <w:r>
        <w:t>на</w:t>
      </w:r>
      <w:r w:rsidRPr="007550D8">
        <w:t xml:space="preserve"> 2023 – 2030 </w:t>
      </w:r>
      <w:r>
        <w:t>годы</w:t>
      </w: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Pr="007550D8" w:rsidRDefault="00E47F76" w:rsidP="00E47F76">
      <w:pPr>
        <w:pStyle w:val="2"/>
        <w:shd w:val="clear" w:color="auto" w:fill="auto"/>
        <w:spacing w:before="0"/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Default="00E47F76" w:rsidP="00E47F76">
      <w:pPr>
        <w:pStyle w:val="31"/>
        <w:shd w:val="clear" w:color="auto" w:fill="auto"/>
        <w:ind w:right="400"/>
        <w:rPr>
          <w:sz w:val="24"/>
          <w:szCs w:val="24"/>
        </w:rPr>
      </w:pPr>
    </w:p>
    <w:p w:rsidR="00E47F76" w:rsidRPr="00876CF5" w:rsidRDefault="00E47F76" w:rsidP="00E47F76">
      <w:pPr>
        <w:pStyle w:val="31"/>
        <w:shd w:val="clear" w:color="auto" w:fill="auto"/>
        <w:ind w:right="400"/>
        <w:rPr>
          <w:sz w:val="28"/>
          <w:szCs w:val="28"/>
        </w:rPr>
      </w:pPr>
      <w:r w:rsidRPr="00876CF5">
        <w:rPr>
          <w:sz w:val="28"/>
          <w:szCs w:val="28"/>
        </w:rPr>
        <w:t>ПАСПОРТ</w:t>
      </w:r>
    </w:p>
    <w:p w:rsidR="00E47F76" w:rsidRPr="00876CF5" w:rsidRDefault="00E47F76" w:rsidP="00E47F76">
      <w:pPr>
        <w:pStyle w:val="31"/>
        <w:shd w:val="clear" w:color="auto" w:fill="auto"/>
        <w:ind w:right="400"/>
        <w:rPr>
          <w:sz w:val="28"/>
          <w:szCs w:val="28"/>
        </w:rPr>
      </w:pPr>
      <w:r w:rsidRPr="00876CF5">
        <w:rPr>
          <w:sz w:val="28"/>
          <w:szCs w:val="28"/>
        </w:rPr>
        <w:t xml:space="preserve">муниципальной программы энергосбережения </w:t>
      </w:r>
      <w:r w:rsidRPr="00876CF5">
        <w:rPr>
          <w:rFonts w:eastAsia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76CF5">
        <w:rPr>
          <w:rFonts w:eastAsia="Times New Roman"/>
          <w:sz w:val="28"/>
          <w:szCs w:val="28"/>
          <w:lang w:eastAsia="ar-SA"/>
        </w:rPr>
        <w:t>Хворостянский</w:t>
      </w:r>
      <w:proofErr w:type="spellEnd"/>
      <w:r w:rsidRPr="00876CF5">
        <w:rPr>
          <w:rFonts w:eastAsia="Times New Roman"/>
          <w:sz w:val="28"/>
          <w:szCs w:val="28"/>
          <w:lang w:eastAsia="ar-SA"/>
        </w:rPr>
        <w:t xml:space="preserve"> сельсовет </w:t>
      </w:r>
      <w:proofErr w:type="spellStart"/>
      <w:r w:rsidRPr="00876CF5">
        <w:rPr>
          <w:rFonts w:eastAsia="Times New Roman"/>
          <w:sz w:val="28"/>
          <w:szCs w:val="28"/>
          <w:lang w:eastAsia="ar-SA"/>
        </w:rPr>
        <w:t>Добринского</w:t>
      </w:r>
      <w:proofErr w:type="spellEnd"/>
      <w:r w:rsidRPr="00876CF5">
        <w:rPr>
          <w:rFonts w:eastAsia="Times New Roman"/>
          <w:sz w:val="28"/>
          <w:szCs w:val="28"/>
          <w:lang w:eastAsia="ar-SA"/>
        </w:rPr>
        <w:t xml:space="preserve"> муниципального района Липецкой области Российской Федерации</w:t>
      </w:r>
    </w:p>
    <w:p w:rsidR="00E47F76" w:rsidRPr="00876CF5" w:rsidRDefault="00E47F76" w:rsidP="00E47F76">
      <w:pPr>
        <w:pStyle w:val="31"/>
        <w:shd w:val="clear" w:color="auto" w:fill="auto"/>
        <w:ind w:right="400"/>
        <w:rPr>
          <w:sz w:val="28"/>
          <w:szCs w:val="28"/>
        </w:rPr>
      </w:pPr>
      <w:r w:rsidRPr="00876CF5">
        <w:rPr>
          <w:sz w:val="28"/>
          <w:szCs w:val="28"/>
        </w:rPr>
        <w:t>на 2023-2030 годы</w:t>
      </w:r>
    </w:p>
    <w:bookmarkEnd w:id="0"/>
    <w:p w:rsidR="00E47F76" w:rsidRPr="00876CF5" w:rsidRDefault="00E47F76" w:rsidP="00E47F76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280"/>
        <w:gridCol w:w="6418"/>
      </w:tblGrid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bookmarkStart w:id="1" w:name="sub_601"/>
            <w:r w:rsidRPr="00876CF5">
              <w:rPr>
                <w:sz w:val="28"/>
                <w:szCs w:val="28"/>
              </w:rPr>
              <w:t>Ответственный исполнитель муниципальной программы</w:t>
            </w:r>
            <w:bookmarkEnd w:id="1"/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</w:t>
            </w:r>
            <w:proofErr w:type="spellStart"/>
            <w:r w:rsidRPr="00876C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Хворостянский</w:t>
            </w:r>
            <w:proofErr w:type="spellEnd"/>
            <w:r w:rsidRPr="00876C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876C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Добринского</w:t>
            </w:r>
            <w:proofErr w:type="spellEnd"/>
            <w:r w:rsidRPr="00876C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Липецкой области Российской Федерации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bookmarkStart w:id="2" w:name="sub_6020"/>
            <w:r w:rsidRPr="00876CF5">
              <w:rPr>
                <w:sz w:val="28"/>
                <w:szCs w:val="28"/>
              </w:rPr>
              <w:t>Соисполнители муниципальной программы</w:t>
            </w:r>
            <w:bookmarkEnd w:id="2"/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предприятия сельского поселения разной сферы (по согласованию); 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(по согласованию).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876CF5">
              <w:rPr>
                <w:sz w:val="28"/>
                <w:szCs w:val="28"/>
              </w:rPr>
              <w:t>повышение энергетической эффективности в производственной (промышленность, транспорт) и непроизводственной (муниципальный сектор) сферах муниципального образования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</w:t>
            </w:r>
            <w:proofErr w:type="gramEnd"/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формирование эффективной системы управления энергосбережением и повышение энергетической эффективности в Муниципальном образовании при неуклонном повышении качества жизни населения, конкурентоспособности выпускаемой продукции;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поэтапное замещение различного транспорта и оборудования, работающих на традиционных видах топлива, транспортом и оборудованием, </w:t>
            </w:r>
            <w:proofErr w:type="gramStart"/>
            <w:r w:rsidRPr="00876CF5">
              <w:rPr>
                <w:sz w:val="28"/>
                <w:szCs w:val="28"/>
              </w:rPr>
              <w:t>работающими</w:t>
            </w:r>
            <w:proofErr w:type="gramEnd"/>
            <w:r w:rsidRPr="00876CF5">
              <w:rPr>
                <w:sz w:val="28"/>
                <w:szCs w:val="28"/>
              </w:rPr>
              <w:t xml:space="preserve">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обеспечение устойчивого процесса повышения эффективности энергопотребления в секторах экономики муниципального образования,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</w:t>
            </w:r>
            <w:r w:rsidRPr="00876CF5">
              <w:rPr>
                <w:sz w:val="28"/>
                <w:szCs w:val="28"/>
              </w:rPr>
              <w:lastRenderedPageBreak/>
              <w:t>деятельность хозяйствующих субъектов и населения по реализации потенциала энергосбережения;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bookmarkStart w:id="3" w:name="sub_603"/>
            <w:r w:rsidRPr="00876CF5">
              <w:rPr>
                <w:sz w:val="28"/>
                <w:szCs w:val="28"/>
              </w:rPr>
              <w:lastRenderedPageBreak/>
              <w:t>Целевой показатель (индикатор) муниципальной программы</w:t>
            </w:r>
            <w:bookmarkEnd w:id="3"/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2031 году будут достигнуты следующие целевые индикаторы и показатели: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876CF5">
              <w:rPr>
                <w:sz w:val="28"/>
                <w:szCs w:val="28"/>
              </w:rPr>
              <w:t>энергосервисных</w:t>
            </w:r>
            <w:proofErr w:type="spellEnd"/>
            <w:r w:rsidRPr="00876CF5">
              <w:rPr>
                <w:sz w:val="28"/>
                <w:szCs w:val="28"/>
              </w:rPr>
      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- 100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многоквартирных домов, оснащенных коллективными (</w:t>
            </w:r>
            <w:proofErr w:type="spellStart"/>
            <w:r w:rsidRPr="00876CF5">
              <w:rPr>
                <w:sz w:val="28"/>
                <w:szCs w:val="28"/>
              </w:rPr>
              <w:t>общедомовыми</w:t>
            </w:r>
            <w:proofErr w:type="spellEnd"/>
            <w:r w:rsidRPr="00876CF5">
              <w:rPr>
                <w:sz w:val="28"/>
                <w:szCs w:val="28"/>
              </w:rPr>
              <w:t>) приборами учета электрической энергии, в общем числе многоквартирных домов – 0,0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многоквартирных домов, оснащенных коллективными (</w:t>
            </w:r>
            <w:proofErr w:type="spellStart"/>
            <w:r w:rsidRPr="00876CF5">
              <w:rPr>
                <w:sz w:val="28"/>
                <w:szCs w:val="28"/>
              </w:rPr>
              <w:t>общедомовыми</w:t>
            </w:r>
            <w:proofErr w:type="spellEnd"/>
            <w:r w:rsidRPr="00876CF5">
              <w:rPr>
                <w:sz w:val="28"/>
                <w:szCs w:val="28"/>
              </w:rPr>
              <w:t>) приборами учета природного газа, в общем числе многоквартирных домов – 0,0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 – 62,5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</w:t>
            </w:r>
            <w:r w:rsidRPr="00876CF5">
              <w:rPr>
                <w:sz w:val="28"/>
                <w:szCs w:val="28"/>
              </w:rPr>
              <w:lastRenderedPageBreak/>
              <w:t>многоквартирных домах, жилых домах (домовладениях) – 37,5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потребляемой муниципальными учреждениями электрической энергии, приобретенной по приборам учета, в общем объеме потребляемой электрической энергии муниципальными учреждениями - 100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- 0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муниципального образования (без учета гидроэлектростанций установленной мощностью свыше 10 МВт) - 0 МВт;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энергоемкость промышленного производства для производства трех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- 0,0 тонны </w:t>
            </w:r>
            <w:proofErr w:type="spellStart"/>
            <w:r w:rsidRPr="00876CF5">
              <w:rPr>
                <w:sz w:val="28"/>
                <w:szCs w:val="28"/>
              </w:rPr>
              <w:t>усл</w:t>
            </w:r>
            <w:proofErr w:type="spellEnd"/>
            <w:r w:rsidRPr="00876CF5">
              <w:rPr>
                <w:sz w:val="28"/>
                <w:szCs w:val="28"/>
              </w:rPr>
              <w:t>. топлива на ед. продукции;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</w:t>
            </w:r>
            <w:r w:rsidRPr="00876CF5">
              <w:rPr>
                <w:sz w:val="28"/>
                <w:szCs w:val="28"/>
              </w:rPr>
              <w:lastRenderedPageBreak/>
              <w:t>образованием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 - 0 единиц;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удельный расход электрической энергии в многоквартирных домах, расположенных на территории муниципального образования – 10,96  кВт*ч/м</w:t>
            </w:r>
            <w:proofErr w:type="gramStart"/>
            <w:r w:rsidRPr="00876CF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76CF5">
              <w:rPr>
                <w:sz w:val="28"/>
                <w:szCs w:val="28"/>
              </w:rPr>
              <w:t>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многоквартирных домов, имеющих класс энергетической эффективности «B» и выше - 0,0 процента;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удельный расход топлива на отпуск электрической энергии тепловыми электростанциями на территории муниципального образования – 0,0 тонн </w:t>
            </w:r>
            <w:proofErr w:type="spellStart"/>
            <w:r w:rsidRPr="00876CF5">
              <w:rPr>
                <w:sz w:val="28"/>
                <w:szCs w:val="28"/>
              </w:rPr>
              <w:t>усл</w:t>
            </w:r>
            <w:proofErr w:type="spellEnd"/>
            <w:r w:rsidRPr="00876CF5">
              <w:rPr>
                <w:sz w:val="28"/>
                <w:szCs w:val="28"/>
              </w:rPr>
              <w:t>. топлива/млн. кВт*</w:t>
            </w:r>
            <w:proofErr w:type="gramStart"/>
            <w:r w:rsidRPr="00876CF5">
              <w:rPr>
                <w:sz w:val="28"/>
                <w:szCs w:val="28"/>
              </w:rPr>
              <w:t>ч</w:t>
            </w:r>
            <w:proofErr w:type="gramEnd"/>
            <w:r w:rsidRPr="00876CF5">
              <w:rPr>
                <w:sz w:val="28"/>
                <w:szCs w:val="28"/>
              </w:rPr>
              <w:t>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 – 0,0 процента;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доля </w:t>
            </w:r>
            <w:proofErr w:type="spellStart"/>
            <w:r w:rsidRPr="00876CF5">
              <w:rPr>
                <w:sz w:val="28"/>
                <w:szCs w:val="28"/>
              </w:rPr>
              <w:t>энергоэффективных</w:t>
            </w:r>
            <w:proofErr w:type="spellEnd"/>
            <w:r w:rsidRPr="00876CF5">
              <w:rPr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 – 90,0 процентов;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доля </w:t>
            </w:r>
            <w:proofErr w:type="spellStart"/>
            <w:r w:rsidRPr="00876CF5">
              <w:rPr>
                <w:sz w:val="28"/>
                <w:szCs w:val="28"/>
              </w:rPr>
              <w:t>энергоэффективных</w:t>
            </w:r>
            <w:proofErr w:type="spellEnd"/>
            <w:r w:rsidRPr="00876CF5">
              <w:rPr>
                <w:sz w:val="28"/>
                <w:szCs w:val="28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 - 0,0 процента;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объем потребления электрической энергии муниципальными учреждениями – 5410 кВт*</w:t>
            </w:r>
            <w:proofErr w:type="gramStart"/>
            <w:r w:rsidRPr="00876CF5">
              <w:rPr>
                <w:sz w:val="28"/>
                <w:szCs w:val="28"/>
              </w:rPr>
              <w:t>ч</w:t>
            </w:r>
            <w:proofErr w:type="gramEnd"/>
            <w:r w:rsidRPr="00876CF5">
              <w:rPr>
                <w:sz w:val="28"/>
                <w:szCs w:val="28"/>
              </w:rPr>
              <w:t>;</w:t>
            </w:r>
          </w:p>
          <w:p w:rsidR="00E47F76" w:rsidRPr="00876CF5" w:rsidRDefault="00E47F76" w:rsidP="003825F2">
            <w:pPr>
              <w:ind w:firstLine="0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объем потребления природного газа муниципальными учреждениями – 4640,0 куб. м.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2023 - 2030 годы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1 этап - 2023 - 2025 годы;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2 этап - 2026 - 2030 годы;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bookmarkStart w:id="4" w:name="sub_10012"/>
            <w:r w:rsidRPr="00876CF5">
              <w:rPr>
                <w:sz w:val="28"/>
                <w:szCs w:val="28"/>
              </w:rPr>
              <w:t xml:space="preserve">Объемы финансирования муниципальной </w:t>
            </w:r>
            <w:r w:rsidRPr="00876CF5">
              <w:rPr>
                <w:sz w:val="28"/>
                <w:szCs w:val="28"/>
              </w:rPr>
              <w:lastRenderedPageBreak/>
              <w:t>программы с разбивкой по годам реализации</w:t>
            </w:r>
            <w:bookmarkEnd w:id="4"/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 xml:space="preserve">прогнозируемые объемы бюджетных ассигнований на реализацию мероприятий программы в 2023 - 2030 годах составляют 73 870  рублей, в том </w:t>
            </w:r>
            <w:r w:rsidRPr="00876CF5">
              <w:rPr>
                <w:sz w:val="28"/>
                <w:szCs w:val="28"/>
              </w:rPr>
              <w:lastRenderedPageBreak/>
              <w:t>числе: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2023 году – 35 000,00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2024 году – 38 870,00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2025 году –     0,00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2026 - 2030 годах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из них средства: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федерального бюджета - 0,0  рублей, в том числе: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2023 году - 0,0 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2024 году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2025 году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2026 - 2030 годах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местного бюджета – 38 870,00  рублей, в том числе: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2023 году – 0,00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2024 году – 38 870,00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2025 году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2026 - 2030 годах - 0,0 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внебюджетных источников – 35 000,00 рублей, в том числе: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2023 году – 35 000,00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2024 году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2025 году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в 2026 - 2030 годах - 0,0  рублей;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Объемы финансирования мероприятий программы подлежат ежегодному уточнению исходя из возможностей бюджетов всех уровней</w:t>
            </w:r>
          </w:p>
        </w:tc>
      </w:tr>
      <w:tr w:rsidR="00E47F76" w:rsidRPr="00876CF5" w:rsidTr="003825F2">
        <w:tc>
          <w:tcPr>
            <w:tcW w:w="280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</w:tcPr>
          <w:p w:rsidR="00E47F76" w:rsidRPr="00876CF5" w:rsidRDefault="00E47F76" w:rsidP="003825F2">
            <w:pPr>
              <w:pStyle w:val="ad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-</w:t>
            </w:r>
          </w:p>
        </w:tc>
        <w:tc>
          <w:tcPr>
            <w:tcW w:w="6418" w:type="dxa"/>
          </w:tcPr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экономия средств на приобретении энергетических ресурсов всеми потребителями энергоресурсов;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повышение качества жизни и улучшение здоровья населения;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снижение удельных расходов энергетических ресурсов и воды всеми категориями потребителей в сельском поселении;</w:t>
            </w:r>
          </w:p>
          <w:p w:rsidR="00E47F76" w:rsidRPr="00876CF5" w:rsidRDefault="00E47F76" w:rsidP="003825F2">
            <w:pPr>
              <w:pStyle w:val="ad"/>
              <w:jc w:val="both"/>
              <w:rPr>
                <w:sz w:val="28"/>
                <w:szCs w:val="28"/>
              </w:rPr>
            </w:pPr>
            <w:r w:rsidRPr="00876CF5">
              <w:rPr>
                <w:sz w:val="28"/>
                <w:szCs w:val="28"/>
              </w:rPr>
              <w:t>снижение эксплуатационных издержек при производстве и транспортировке энергетических ресурсов и воды</w:t>
            </w:r>
          </w:p>
        </w:tc>
      </w:tr>
    </w:tbl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jc w:val="center"/>
        <w:rPr>
          <w:b/>
          <w:sz w:val="28"/>
          <w:szCs w:val="28"/>
        </w:rPr>
      </w:pPr>
      <w:r w:rsidRPr="00876CF5">
        <w:rPr>
          <w:sz w:val="28"/>
          <w:szCs w:val="28"/>
        </w:rPr>
        <w:br w:type="page"/>
      </w:r>
      <w:bookmarkStart w:id="5" w:name="sub_6001"/>
      <w:r w:rsidRPr="00876CF5">
        <w:rPr>
          <w:b/>
          <w:sz w:val="28"/>
          <w:szCs w:val="28"/>
        </w:rPr>
        <w:lastRenderedPageBreak/>
        <w:t xml:space="preserve">Раздел I. Приоритеты и цель муниципальной программы, общая характеристика участия органов местного самоуправления в реализации муниципальной </w:t>
      </w:r>
      <w:proofErr w:type="spellStart"/>
      <w:proofErr w:type="gramStart"/>
      <w:r w:rsidRPr="00876CF5">
        <w:rPr>
          <w:b/>
          <w:sz w:val="28"/>
          <w:szCs w:val="28"/>
        </w:rPr>
        <w:t>муниципальной</w:t>
      </w:r>
      <w:proofErr w:type="spellEnd"/>
      <w:proofErr w:type="gramEnd"/>
      <w:r w:rsidRPr="00876CF5">
        <w:rPr>
          <w:b/>
          <w:sz w:val="28"/>
          <w:szCs w:val="28"/>
        </w:rPr>
        <w:t xml:space="preserve"> программы</w:t>
      </w:r>
    </w:p>
    <w:bookmarkEnd w:id="5"/>
    <w:p w:rsidR="00E47F76" w:rsidRPr="00876CF5" w:rsidRDefault="00E47F76" w:rsidP="00E47F76">
      <w:pPr>
        <w:rPr>
          <w:b/>
          <w:sz w:val="28"/>
          <w:szCs w:val="28"/>
        </w:rPr>
      </w:pPr>
    </w:p>
    <w:p w:rsidR="00E47F76" w:rsidRPr="00876CF5" w:rsidRDefault="00E47F76" w:rsidP="00E47F76">
      <w:pPr>
        <w:ind w:firstLine="0"/>
        <w:jc w:val="center"/>
        <w:rPr>
          <w:b/>
          <w:sz w:val="28"/>
          <w:szCs w:val="28"/>
        </w:rPr>
      </w:pPr>
      <w:bookmarkStart w:id="6" w:name="sub_6011"/>
      <w:r w:rsidRPr="00876CF5">
        <w:rPr>
          <w:b/>
          <w:sz w:val="28"/>
          <w:szCs w:val="28"/>
        </w:rPr>
        <w:t xml:space="preserve">1. Анализ тенденций и проблем в сфере энергосбережения и повышения энергетической эффективности на территории сельского поселения </w:t>
      </w:r>
      <w:proofErr w:type="spellStart"/>
      <w:r w:rsidRPr="00876CF5">
        <w:rPr>
          <w:b/>
          <w:sz w:val="28"/>
          <w:szCs w:val="28"/>
        </w:rPr>
        <w:t>Хворостянский</w:t>
      </w:r>
      <w:proofErr w:type="spellEnd"/>
      <w:r w:rsidRPr="00876CF5">
        <w:rPr>
          <w:b/>
          <w:sz w:val="28"/>
          <w:szCs w:val="28"/>
        </w:rPr>
        <w:t xml:space="preserve"> сельсовет </w:t>
      </w:r>
      <w:proofErr w:type="spellStart"/>
      <w:r w:rsidRPr="00876CF5">
        <w:rPr>
          <w:b/>
          <w:sz w:val="28"/>
          <w:szCs w:val="28"/>
        </w:rPr>
        <w:t>Добринского</w:t>
      </w:r>
      <w:proofErr w:type="spellEnd"/>
      <w:r w:rsidRPr="00876CF5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bookmarkEnd w:id="6"/>
    <w:p w:rsidR="00E47F76" w:rsidRPr="00876CF5" w:rsidRDefault="00E47F76" w:rsidP="00E47F76">
      <w:pPr>
        <w:rPr>
          <w:b/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proofErr w:type="gramStart"/>
      <w:r w:rsidRPr="00876CF5">
        <w:rPr>
          <w:sz w:val="28"/>
          <w:szCs w:val="28"/>
        </w:rPr>
        <w:t xml:space="preserve">Муниципальная программа </w:t>
      </w:r>
      <w:r w:rsidRPr="00876CF5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876CF5">
        <w:rPr>
          <w:sz w:val="28"/>
          <w:szCs w:val="28"/>
        </w:rPr>
        <w:t xml:space="preserve">далее - программа) разработана в соответствии с </w:t>
      </w:r>
      <w:hyperlink r:id="rId10" w:history="1">
        <w:r w:rsidRPr="00876CF5">
          <w:rPr>
            <w:sz w:val="28"/>
            <w:szCs w:val="28"/>
          </w:rPr>
          <w:t>Федеральным законом</w:t>
        </w:r>
      </w:hyperlink>
      <w:r w:rsidRPr="00876CF5">
        <w:rPr>
          <w:sz w:val="28"/>
          <w:szCs w:val="28"/>
        </w:rPr>
        <w:t xml:space="preserve"> от 23 ноября 2009 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1" w:history="1">
        <w:r w:rsidRPr="00876CF5">
          <w:rPr>
            <w:sz w:val="28"/>
            <w:szCs w:val="28"/>
          </w:rPr>
          <w:t>постановлением</w:t>
        </w:r>
      </w:hyperlink>
      <w:r w:rsidRPr="00876CF5">
        <w:rPr>
          <w:sz w:val="28"/>
          <w:szCs w:val="28"/>
        </w:rPr>
        <w:t xml:space="preserve"> Правительства Российской Федерации от 11 февраля 2021 г. № 161 «Об утверждении требований к региональным и муниципальным программам в области энергосбережения и повышения энергетической эффективности и о</w:t>
      </w:r>
      <w:proofErr w:type="gramEnd"/>
      <w:r w:rsidRPr="00876CF5">
        <w:rPr>
          <w:sz w:val="28"/>
          <w:szCs w:val="28"/>
        </w:rPr>
        <w:t xml:space="preserve"> признании </w:t>
      </w:r>
      <w:proofErr w:type="gramStart"/>
      <w:r w:rsidRPr="00876CF5">
        <w:rPr>
          <w:sz w:val="28"/>
          <w:szCs w:val="28"/>
        </w:rPr>
        <w:t>утратившими</w:t>
      </w:r>
      <w:proofErr w:type="gramEnd"/>
      <w:r w:rsidRPr="00876CF5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Комплексная направленность программы обусловлена необходимостью решения задач в части энергосбережения и повышения энергетической эффективности во всех сферах экономики сельского поселения </w:t>
      </w:r>
      <w:proofErr w:type="spellStart"/>
      <w:r w:rsidRPr="00876CF5">
        <w:rPr>
          <w:sz w:val="28"/>
          <w:szCs w:val="28"/>
        </w:rPr>
        <w:t>Хворостянский</w:t>
      </w:r>
      <w:proofErr w:type="spellEnd"/>
      <w:r w:rsidRPr="00876CF5">
        <w:rPr>
          <w:sz w:val="28"/>
          <w:szCs w:val="28"/>
        </w:rPr>
        <w:t xml:space="preserve"> сельсовет.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Реализация программы на уровне муниципального образования будет определяться качеством исполнения программ энергосбережения муниципальных учреждений, а также выполнением мероприятий, указанных в настоящей программе, их своевременной и качественной актуализацией.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Механизм реализации программы базируется на принципах взаимодействия, разделения полномочий и ответственности всех участников и исполнителей программы.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Приоритетами политики сельского поселения </w:t>
      </w:r>
      <w:proofErr w:type="spellStart"/>
      <w:r w:rsidRPr="00876CF5">
        <w:rPr>
          <w:sz w:val="28"/>
          <w:szCs w:val="28"/>
        </w:rPr>
        <w:t>Хворостянский</w:t>
      </w:r>
      <w:proofErr w:type="spellEnd"/>
      <w:r w:rsidRPr="00876CF5">
        <w:rPr>
          <w:sz w:val="28"/>
          <w:szCs w:val="28"/>
        </w:rPr>
        <w:t xml:space="preserve"> сельсовет в рамках настоящей программы являются: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создание надежной системы обеспечения муниципальной энергетической безопасности с учетом оптимизации территориальной структуры производства и потребления топливно-энергетических ресурсов;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создание правовых, организационно-управленческих, финансовых и материально-технических условий, способствующих разработке и реализации проектов в сфере энергосбережения и повышения энергетической эффективности;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повышение информированности общества о состоянии и деятельности в сфере энергосбережения и повышения энергетической эффективности.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Сельское поселение </w:t>
      </w:r>
      <w:proofErr w:type="spellStart"/>
      <w:r w:rsidRPr="00876CF5">
        <w:rPr>
          <w:sz w:val="28"/>
          <w:szCs w:val="28"/>
        </w:rPr>
        <w:t>Хворостянский</w:t>
      </w:r>
      <w:proofErr w:type="spellEnd"/>
      <w:r w:rsidRPr="00876CF5">
        <w:rPr>
          <w:sz w:val="28"/>
          <w:szCs w:val="28"/>
        </w:rPr>
        <w:t xml:space="preserve"> сельсовет - муниципальное </w:t>
      </w:r>
      <w:r w:rsidRPr="00876CF5">
        <w:rPr>
          <w:sz w:val="28"/>
          <w:szCs w:val="28"/>
        </w:rPr>
        <w:lastRenderedPageBreak/>
        <w:t xml:space="preserve">образование, представляющее собой часть территории </w:t>
      </w:r>
      <w:proofErr w:type="spellStart"/>
      <w:r w:rsidRPr="00876CF5">
        <w:rPr>
          <w:sz w:val="28"/>
          <w:szCs w:val="28"/>
        </w:rPr>
        <w:t>Добринского</w:t>
      </w:r>
      <w:proofErr w:type="spellEnd"/>
      <w:r w:rsidRPr="00876CF5">
        <w:rPr>
          <w:sz w:val="28"/>
          <w:szCs w:val="28"/>
        </w:rPr>
        <w:t xml:space="preserve"> муниципального района Липецкой области Российской Федерации, находится в пределах Окско-Донской низменности Центрального Черноземья. Климат умеренно-континентальный.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Сельское поселение </w:t>
      </w:r>
      <w:proofErr w:type="spellStart"/>
      <w:r w:rsidRPr="00876CF5">
        <w:rPr>
          <w:sz w:val="28"/>
          <w:szCs w:val="28"/>
        </w:rPr>
        <w:t>Хворостянский</w:t>
      </w:r>
      <w:proofErr w:type="spellEnd"/>
      <w:r w:rsidRPr="00876CF5">
        <w:rPr>
          <w:sz w:val="28"/>
          <w:szCs w:val="28"/>
        </w:rPr>
        <w:t xml:space="preserve"> сельсовет расположено в северо-западной части </w:t>
      </w:r>
      <w:proofErr w:type="spellStart"/>
      <w:r w:rsidRPr="00876CF5">
        <w:rPr>
          <w:sz w:val="28"/>
          <w:szCs w:val="28"/>
        </w:rPr>
        <w:t>Добринского</w:t>
      </w:r>
      <w:proofErr w:type="spellEnd"/>
      <w:r w:rsidRPr="00876CF5">
        <w:rPr>
          <w:sz w:val="28"/>
          <w:szCs w:val="28"/>
        </w:rPr>
        <w:t xml:space="preserve"> района в 32 км от районного центра Добринка и в 60 км от областного центра - г. Липецка. Западная граница проходит по </w:t>
      </w:r>
      <w:proofErr w:type="spellStart"/>
      <w:r w:rsidRPr="00876CF5">
        <w:rPr>
          <w:sz w:val="28"/>
          <w:szCs w:val="28"/>
        </w:rPr>
        <w:t>смежеству</w:t>
      </w:r>
      <w:proofErr w:type="spellEnd"/>
      <w:r w:rsidRPr="00876CF5">
        <w:rPr>
          <w:sz w:val="28"/>
          <w:szCs w:val="28"/>
        </w:rPr>
        <w:t xml:space="preserve"> с </w:t>
      </w:r>
      <w:proofErr w:type="spellStart"/>
      <w:r w:rsidRPr="00876CF5">
        <w:rPr>
          <w:sz w:val="28"/>
          <w:szCs w:val="28"/>
        </w:rPr>
        <w:t>Грязинским</w:t>
      </w:r>
      <w:proofErr w:type="spellEnd"/>
      <w:r w:rsidRPr="00876CF5">
        <w:rPr>
          <w:sz w:val="28"/>
          <w:szCs w:val="28"/>
        </w:rPr>
        <w:t xml:space="preserve"> районом, на северо-востоке - с землями Дубовского и Пушкинского сельсоветов</w:t>
      </w:r>
      <w:proofErr w:type="gramStart"/>
      <w:r w:rsidRPr="00876CF5">
        <w:rPr>
          <w:sz w:val="28"/>
          <w:szCs w:val="28"/>
        </w:rPr>
        <w:t xml:space="preserve"> ,</w:t>
      </w:r>
      <w:proofErr w:type="gramEnd"/>
      <w:r w:rsidRPr="00876CF5">
        <w:rPr>
          <w:sz w:val="28"/>
          <w:szCs w:val="28"/>
        </w:rPr>
        <w:t xml:space="preserve"> на юго-востоке - с землями Богородицкого сельсовета, на юге - с землями Дубовского сельсовета, на юго-западе - с землями </w:t>
      </w:r>
      <w:proofErr w:type="spellStart"/>
      <w:r w:rsidRPr="00876CF5">
        <w:rPr>
          <w:sz w:val="28"/>
          <w:szCs w:val="28"/>
        </w:rPr>
        <w:t>Нижнематренского</w:t>
      </w:r>
      <w:proofErr w:type="spellEnd"/>
      <w:r w:rsidRPr="00876CF5">
        <w:rPr>
          <w:sz w:val="28"/>
          <w:szCs w:val="28"/>
        </w:rPr>
        <w:t xml:space="preserve"> сельсовета. Площадь территории - 7560 га. Население - 1491 человек или 4% от населения </w:t>
      </w:r>
      <w:proofErr w:type="spellStart"/>
      <w:r w:rsidRPr="00876CF5">
        <w:rPr>
          <w:sz w:val="28"/>
          <w:szCs w:val="28"/>
        </w:rPr>
        <w:t>Добринского</w:t>
      </w:r>
      <w:proofErr w:type="spellEnd"/>
      <w:r w:rsidRPr="00876CF5">
        <w:rPr>
          <w:sz w:val="28"/>
          <w:szCs w:val="28"/>
        </w:rPr>
        <w:t xml:space="preserve"> района. Имеет 7 сельских населенных пункта: железнодорожная станция Хворостянка (1007 чел.), деревня Новая Жизнь (18 чел.), село </w:t>
      </w:r>
      <w:proofErr w:type="spellStart"/>
      <w:r w:rsidRPr="00876CF5">
        <w:rPr>
          <w:sz w:val="28"/>
          <w:szCs w:val="28"/>
        </w:rPr>
        <w:t>Салтычки</w:t>
      </w:r>
      <w:proofErr w:type="spellEnd"/>
      <w:r w:rsidRPr="00876CF5">
        <w:rPr>
          <w:sz w:val="28"/>
          <w:szCs w:val="28"/>
        </w:rPr>
        <w:t xml:space="preserve"> (208чел.), село Никольское (27чел.), деревня Ольшанка (12чел.), село </w:t>
      </w:r>
      <w:proofErr w:type="spellStart"/>
      <w:r w:rsidRPr="00876CF5">
        <w:rPr>
          <w:sz w:val="28"/>
          <w:szCs w:val="28"/>
        </w:rPr>
        <w:t>Падворские</w:t>
      </w:r>
      <w:proofErr w:type="spellEnd"/>
      <w:r w:rsidRPr="00876CF5">
        <w:rPr>
          <w:sz w:val="28"/>
          <w:szCs w:val="28"/>
        </w:rPr>
        <w:t xml:space="preserve"> Выселки (14 чел.), деревня </w:t>
      </w:r>
      <w:proofErr w:type="spellStart"/>
      <w:r w:rsidRPr="00876CF5">
        <w:rPr>
          <w:sz w:val="28"/>
          <w:szCs w:val="28"/>
        </w:rPr>
        <w:t>Казельки</w:t>
      </w:r>
      <w:proofErr w:type="spellEnd"/>
      <w:r w:rsidRPr="00876CF5">
        <w:rPr>
          <w:sz w:val="28"/>
          <w:szCs w:val="28"/>
        </w:rPr>
        <w:t xml:space="preserve"> (9 чел.). Административным центром сельского поселения </w:t>
      </w:r>
      <w:proofErr w:type="spellStart"/>
      <w:r w:rsidRPr="00876CF5">
        <w:rPr>
          <w:sz w:val="28"/>
          <w:szCs w:val="28"/>
        </w:rPr>
        <w:t>Хворостянский</w:t>
      </w:r>
      <w:proofErr w:type="spellEnd"/>
      <w:r w:rsidRPr="00876CF5">
        <w:rPr>
          <w:sz w:val="28"/>
          <w:szCs w:val="28"/>
        </w:rPr>
        <w:t xml:space="preserve"> сельсовет является </w:t>
      </w:r>
      <w:proofErr w:type="spellStart"/>
      <w:r w:rsidRPr="00876CF5">
        <w:rPr>
          <w:sz w:val="28"/>
          <w:szCs w:val="28"/>
        </w:rPr>
        <w:t>ж.д.ст</w:t>
      </w:r>
      <w:proofErr w:type="gramStart"/>
      <w:r w:rsidRPr="00876CF5">
        <w:rPr>
          <w:sz w:val="28"/>
          <w:szCs w:val="28"/>
        </w:rPr>
        <w:t>.Х</w:t>
      </w:r>
      <w:proofErr w:type="gramEnd"/>
      <w:r w:rsidRPr="00876CF5">
        <w:rPr>
          <w:sz w:val="28"/>
          <w:szCs w:val="28"/>
        </w:rPr>
        <w:t>воростянка</w:t>
      </w:r>
      <w:proofErr w:type="spellEnd"/>
      <w:r w:rsidRPr="00876CF5">
        <w:rPr>
          <w:sz w:val="28"/>
          <w:szCs w:val="28"/>
        </w:rPr>
        <w:t>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Основой экономического потенциала являются предприятия сельскохозяйственного значения - производственное подразделение ООО Агрофирма «Добрыня», 16 субъектов малого бизнеса. Ведущее место занимает продукция сельского хозяйства.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Социальная инфраструктура представлена 1 лечебным учреждением - </w:t>
      </w:r>
      <w:proofErr w:type="spellStart"/>
      <w:r w:rsidRPr="00876CF5">
        <w:rPr>
          <w:sz w:val="28"/>
          <w:szCs w:val="28"/>
        </w:rPr>
        <w:t>Хворостянским</w:t>
      </w:r>
      <w:proofErr w:type="spellEnd"/>
      <w:r w:rsidRPr="00876CF5">
        <w:rPr>
          <w:sz w:val="28"/>
          <w:szCs w:val="28"/>
        </w:rPr>
        <w:t xml:space="preserve"> офисом врачебной практики, 1 средней школой, 1 детским садом, 2 домами Культуры и 1 библиотекой.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настоящее время на территории сельсовета находится 7 торговых предприятий, в т.ч. 2 магазина потребительской кооперации, т.е. ООО «</w:t>
      </w:r>
      <w:proofErr w:type="spellStart"/>
      <w:r w:rsidRPr="00876CF5">
        <w:rPr>
          <w:sz w:val="28"/>
          <w:szCs w:val="28"/>
        </w:rPr>
        <w:t>Добринский</w:t>
      </w:r>
      <w:proofErr w:type="spellEnd"/>
      <w:r w:rsidRPr="00876CF5">
        <w:rPr>
          <w:sz w:val="28"/>
          <w:szCs w:val="28"/>
        </w:rPr>
        <w:t xml:space="preserve"> </w:t>
      </w:r>
      <w:proofErr w:type="spellStart"/>
      <w:r w:rsidRPr="00876CF5">
        <w:rPr>
          <w:sz w:val="28"/>
          <w:szCs w:val="28"/>
        </w:rPr>
        <w:t>Кооперато</w:t>
      </w:r>
      <w:proofErr w:type="spellEnd"/>
      <w:r w:rsidRPr="00876CF5">
        <w:rPr>
          <w:sz w:val="28"/>
          <w:szCs w:val="28"/>
        </w:rPr>
        <w:t>», 1 торговый павильон индивидуальных предпринимателей, 2 точки на почтовых отделениях связи, кафе «Садко».</w:t>
      </w:r>
    </w:p>
    <w:p w:rsidR="00E47F76" w:rsidRPr="00876CF5" w:rsidRDefault="00E47F76" w:rsidP="00E47F76">
      <w:pPr>
        <w:rPr>
          <w:b/>
          <w:sz w:val="28"/>
          <w:szCs w:val="28"/>
        </w:rPr>
      </w:pPr>
      <w:r w:rsidRPr="00876CF5">
        <w:rPr>
          <w:sz w:val="28"/>
          <w:szCs w:val="28"/>
        </w:rPr>
        <w:t>Имеются современные системы связи. В 2020 году на ст. Хворостянка проводилось подключение высокоскоростного интернета частным домам и организациям.</w:t>
      </w:r>
      <w:r w:rsidRPr="00876CF5">
        <w:rPr>
          <w:b/>
          <w:sz w:val="28"/>
          <w:szCs w:val="28"/>
        </w:rPr>
        <w:t xml:space="preserve"> 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Села сельского поселения соединены с райцентром Добринка автобусным сообщением. Ежедневно выполняется два рейса пригородных маршрутов. Кроме того, через ст</w:t>
      </w:r>
      <w:proofErr w:type="gramStart"/>
      <w:r w:rsidRPr="00876CF5">
        <w:rPr>
          <w:sz w:val="28"/>
          <w:szCs w:val="28"/>
        </w:rPr>
        <w:t>.Х</w:t>
      </w:r>
      <w:proofErr w:type="gramEnd"/>
      <w:r w:rsidRPr="00876CF5">
        <w:rPr>
          <w:sz w:val="28"/>
          <w:szCs w:val="28"/>
        </w:rPr>
        <w:t xml:space="preserve">воростянка, </w:t>
      </w:r>
      <w:proofErr w:type="spellStart"/>
      <w:r w:rsidRPr="00876CF5">
        <w:rPr>
          <w:sz w:val="28"/>
          <w:szCs w:val="28"/>
        </w:rPr>
        <w:t>с.Салтычки</w:t>
      </w:r>
      <w:proofErr w:type="spellEnd"/>
      <w:r w:rsidRPr="00876CF5">
        <w:rPr>
          <w:sz w:val="28"/>
          <w:szCs w:val="28"/>
        </w:rPr>
        <w:t xml:space="preserve">, с.Никольское, </w:t>
      </w:r>
      <w:proofErr w:type="spellStart"/>
      <w:r w:rsidRPr="00876CF5">
        <w:rPr>
          <w:sz w:val="28"/>
          <w:szCs w:val="28"/>
        </w:rPr>
        <w:t>с.Падворские</w:t>
      </w:r>
      <w:proofErr w:type="spellEnd"/>
      <w:r w:rsidRPr="00876CF5">
        <w:rPr>
          <w:sz w:val="28"/>
          <w:szCs w:val="28"/>
        </w:rPr>
        <w:t xml:space="preserve"> Выселки проходит междугородний автобус, ежедневно выполняющий рейс Воронеж - Добринка, по выходным Грязи - </w:t>
      </w:r>
      <w:proofErr w:type="spellStart"/>
      <w:r w:rsidRPr="00876CF5">
        <w:rPr>
          <w:sz w:val="28"/>
          <w:szCs w:val="28"/>
        </w:rPr>
        <w:t>Березнеговка</w:t>
      </w:r>
      <w:proofErr w:type="spellEnd"/>
      <w:r w:rsidRPr="00876CF5">
        <w:rPr>
          <w:sz w:val="28"/>
          <w:szCs w:val="28"/>
        </w:rPr>
        <w:t>, ежедневно и ежечасно через ст. Хворостянка проходят междугородние рейсы по маршрутам Липецк-Добринка и Добринка-Липецк. Через ст. Хворостянка проходит юго-восточная железнодорожная дорога - это дополнительное соединение с районным и областным центром.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Значительный природно-ресурсный потенциал является определяющим фактором социально </w:t>
      </w:r>
      <w:proofErr w:type="gramStart"/>
      <w:r w:rsidRPr="00876CF5">
        <w:rPr>
          <w:sz w:val="28"/>
          <w:szCs w:val="28"/>
        </w:rPr>
        <w:t>-э</w:t>
      </w:r>
      <w:proofErr w:type="gramEnd"/>
      <w:r w:rsidRPr="00876CF5">
        <w:rPr>
          <w:sz w:val="28"/>
          <w:szCs w:val="28"/>
        </w:rPr>
        <w:t>кономического развития сельского поселения.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7" w:name="sub_616"/>
      <w:r w:rsidRPr="00876CF5">
        <w:rPr>
          <w:sz w:val="28"/>
          <w:szCs w:val="28"/>
        </w:rPr>
        <w:lastRenderedPageBreak/>
        <w:t>Энергосбережение и повышение эффективности использования ресурсов в жилищном фонде</w:t>
      </w:r>
    </w:p>
    <w:bookmarkEnd w:id="7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соответствии с требованиями </w:t>
      </w:r>
      <w:hyperlink r:id="rId12" w:history="1">
        <w:r w:rsidRPr="00876CF5">
          <w:rPr>
            <w:sz w:val="28"/>
            <w:szCs w:val="28"/>
          </w:rPr>
          <w:t>Федерального закона</w:t>
        </w:r>
      </w:hyperlink>
      <w:r w:rsidRPr="00876CF5">
        <w:rPr>
          <w:sz w:val="28"/>
          <w:szCs w:val="28"/>
        </w:rPr>
        <w:t xml:space="preserve">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при планировании работ по капитальному ремонту жилищного фонда учитывается применение новых энергосберегающих материалов и технологий.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Нормативными правовыми актами муниципального образования также регламентировано, что виды работ по капитальному ремонту многоквартирных домов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ремонта, в соответствии с законодательством Российской Федерации.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Так, при капитальном ремонте жилищного фонда реализуются следующие мероприятия: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капитальный ремонт и замена кровли;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утепление чердачных перекрытий;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утепление цокольных и подвальных этажей;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замена старых окон на современные оконные блоки (с двухкамерными стеклопакетами);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установка оптико-акустических светодиодных светильников.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При замене инженерных систем предусматривается установка приборов учета потребления ресурсов.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Кроме того, в муниципальном образовании продолжаются текущие работы по ремонту жилищного фонда, в рамках которых осуществляются следующие виды работ: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восстановление теплового контура зданий путем герметизации швов, уплотнения и утепления оконных и дверных блоков в подъездах, установка доводчиков, закрытие подвальных и чердачных помещений;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установка источников освещения, оборудованных энергосберегающими технологиями (датчиками движения, присутствия), замена ламп накаливания на энергосберегающие лампы;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текущий ремонт инженерных коммуникаций, восстановление изоляции трубопроводов систем отопления, теплообменников, систем горячего и холодного водоснабжения, ревизия систем отопления с установкой (заменой) запорной и регулирующей арматуры, воздуховыпускных клапанов (кранов), промывка и регулировка гидравлических параметров систем отопления.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целом в жилищном фонде имеется потенциал экономии энергетических ресурсов и воды. В результате установки приборов учета используемых ресурсов потребитель получает возможность определить фактический объем их потребления. Изменение бытовых привычек собственников и нанимателей жилищного фонда позволяет достичь </w:t>
      </w:r>
      <w:r w:rsidRPr="00876CF5">
        <w:rPr>
          <w:sz w:val="28"/>
          <w:szCs w:val="28"/>
        </w:rPr>
        <w:lastRenderedPageBreak/>
        <w:t>экономии ресурсов в размере до 10%.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8" w:name="sub_6111"/>
      <w:r w:rsidRPr="00876CF5">
        <w:rPr>
          <w:sz w:val="28"/>
          <w:szCs w:val="28"/>
        </w:rPr>
        <w:t>Повышение энергетической эффективности объектов коммунальной инфраструктуры и электроэнергетики</w:t>
      </w:r>
    </w:p>
    <w:bookmarkEnd w:id="8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 целью повышения энергетической эффективности объектов коммунальной инфраструктуры и электроэнергетики реализуются мероприятия, направленные на решение следующих задач: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повышение надежности систем коммунальной инфраструктуры;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снижение потерь энергетических ресурсов и воды;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повышение качества оказываемых услуг тепл</w:t>
      </w:r>
      <w:proofErr w:type="gramStart"/>
      <w:r w:rsidRPr="00876CF5">
        <w:rPr>
          <w:sz w:val="28"/>
          <w:szCs w:val="28"/>
        </w:rPr>
        <w:t>о-</w:t>
      </w:r>
      <w:proofErr w:type="gramEnd"/>
      <w:r w:rsidRPr="00876CF5">
        <w:rPr>
          <w:sz w:val="28"/>
          <w:szCs w:val="28"/>
        </w:rPr>
        <w:t xml:space="preserve">, </w:t>
      </w:r>
      <w:proofErr w:type="spellStart"/>
      <w:r w:rsidRPr="00876CF5">
        <w:rPr>
          <w:sz w:val="28"/>
          <w:szCs w:val="28"/>
        </w:rPr>
        <w:t>водо</w:t>
      </w:r>
      <w:proofErr w:type="spellEnd"/>
      <w:r w:rsidRPr="00876CF5">
        <w:rPr>
          <w:sz w:val="28"/>
          <w:szCs w:val="28"/>
        </w:rPr>
        <w:t xml:space="preserve">-, </w:t>
      </w:r>
      <w:proofErr w:type="spellStart"/>
      <w:r w:rsidRPr="00876CF5">
        <w:rPr>
          <w:sz w:val="28"/>
          <w:szCs w:val="28"/>
        </w:rPr>
        <w:t>электро</w:t>
      </w:r>
      <w:proofErr w:type="spellEnd"/>
      <w:r w:rsidRPr="00876CF5">
        <w:rPr>
          <w:sz w:val="28"/>
          <w:szCs w:val="28"/>
        </w:rPr>
        <w:t>-, газоснабжения;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повышение эффективности производства электрической и тепловой энергии;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внедрение инновационных энергосберегающих технологий;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сокращение удельных расходов топлива на выработку электрической и тепловой энергии;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расширение использования возобновляемых источников энергии.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9" w:name="sub_618"/>
      <w:r w:rsidRPr="00876CF5">
        <w:rPr>
          <w:sz w:val="28"/>
          <w:szCs w:val="28"/>
        </w:rPr>
        <w:t>Информационное обеспечение, пропаганда и повышение уровня грамотности по вопросам энергосбережения и повышения энергетической эффективности</w:t>
      </w:r>
    </w:p>
    <w:bookmarkEnd w:id="9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Формирование бережливой модели поведения направлено на стимулирование позитивного общественного мнения о необходимости энергосбережения и повышения энергетической эффективности и планируется путем проведения комплекса мероприятий для различных целевых групп.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Реализация основных положений действующего законодательства об энергосбережении и формирование энергосберегающего образа жизни невозможны без соответствующей пропаганды.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Пропаганда энергосбережения подразумевает под собой решение целого ряда взаимоувязанных задач. Прежде </w:t>
      </w:r>
      <w:proofErr w:type="gramStart"/>
      <w:r w:rsidRPr="00876CF5">
        <w:rPr>
          <w:sz w:val="28"/>
          <w:szCs w:val="28"/>
        </w:rPr>
        <w:t>всего</w:t>
      </w:r>
      <w:proofErr w:type="gramEnd"/>
      <w:r w:rsidRPr="00876CF5">
        <w:rPr>
          <w:sz w:val="28"/>
          <w:szCs w:val="28"/>
        </w:rPr>
        <w:t xml:space="preserve"> это информационное обеспечение </w:t>
      </w:r>
      <w:proofErr w:type="spellStart"/>
      <w:r w:rsidRPr="00876CF5">
        <w:rPr>
          <w:sz w:val="28"/>
          <w:szCs w:val="28"/>
        </w:rPr>
        <w:t>энергопотребителей</w:t>
      </w:r>
      <w:proofErr w:type="spellEnd"/>
      <w:r w:rsidRPr="00876CF5">
        <w:rPr>
          <w:sz w:val="28"/>
          <w:szCs w:val="28"/>
        </w:rPr>
        <w:t xml:space="preserve"> и руководителей, ответственных за принятие решений, о возможностях и выгодах экономии энергии, наличии и стоимости различных типов энергосберегающего оборудования, приборов и услуг по энергосбережению. При этом адаптированная информация должна быть адресована: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крупным промышленным потребителям;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работникам </w:t>
      </w:r>
      <w:proofErr w:type="spellStart"/>
      <w:r w:rsidRPr="00876CF5">
        <w:rPr>
          <w:sz w:val="28"/>
          <w:szCs w:val="28"/>
        </w:rPr>
        <w:t>ресурсоснабжающих</w:t>
      </w:r>
      <w:proofErr w:type="spellEnd"/>
      <w:r w:rsidRPr="00876CF5">
        <w:rPr>
          <w:sz w:val="28"/>
          <w:szCs w:val="28"/>
        </w:rPr>
        <w:t xml:space="preserve"> и сетевых организаций;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муниципальным учреждениям;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управляющим компаниям;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бытовым потребителям и пр.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lastRenderedPageBreak/>
        <w:t>Успешная реализация программы энергосбережения и повышения энергетической эффективности возможна лишь при заинтересованности и сознательном активном участии в ее реализации максимального числа производителей и потребителей энергоресурсов, а также руководителей, ответственных за принятие стратегических решений в экономике.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механизмам воздействия пропаганды относятся: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средства массовой информации: телевидение, радио, газеты, журналы;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использование рекламных площадей (перетяжки, щиты, транспорт);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использование информационно-телекоммуникационной сети «Интернет»;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использование печатной продукции (листовок, буклетов, брошюр).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Необходимо проводить агитационную работу на предприятиях, в организациях и учреждениях: разъяснительная работа с персоналом, оформление помещений плакатами и табличками о необходимости экономии энергоресурсов, о выключении света, закрытии окон, входных дверей и пр.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10" w:name="sub_612"/>
      <w:r w:rsidRPr="00876CF5">
        <w:rPr>
          <w:sz w:val="28"/>
          <w:szCs w:val="28"/>
        </w:rPr>
        <w:t>2. Цель, задачи и приоритеты развития энергосбережения и повышения энергетической эффективности на территории муниципального образования</w:t>
      </w:r>
    </w:p>
    <w:bookmarkEnd w:id="10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proofErr w:type="gramStart"/>
      <w:r w:rsidRPr="00876CF5">
        <w:rPr>
          <w:sz w:val="28"/>
          <w:szCs w:val="28"/>
        </w:rPr>
        <w:t>Основной целью программы является повышение энергетической эффективности в производственной (промышленность, транспорт) и непроизводственной (муниципальный сектор) сферах муниципального образования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среду.</w:t>
      </w:r>
      <w:proofErr w:type="gramEnd"/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Достижению поставленной в программе цели способствует решение следующих задач: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формирование эффективной системы управления энергосбережением и повышение энергетической эффективности в муниципальном образовании при неуклонном повышении качества жизни населения, конкурентоспособности выпускаемой продукции;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поэтапное замещение различного транспорта и оборудования, работающих на традиционных видах топлива, транспортом и оборудованием, </w:t>
      </w:r>
      <w:proofErr w:type="gramStart"/>
      <w:r w:rsidRPr="00876CF5">
        <w:rPr>
          <w:sz w:val="28"/>
          <w:szCs w:val="28"/>
        </w:rPr>
        <w:t>работающими</w:t>
      </w:r>
      <w:proofErr w:type="gramEnd"/>
      <w:r w:rsidRPr="00876CF5">
        <w:rPr>
          <w:sz w:val="28"/>
          <w:szCs w:val="28"/>
        </w:rPr>
        <w:t xml:space="preserve">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обеспечение устойчивого процесса повышения эффективности энергопотребления в секторах экономики муниципального образования,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</w:t>
      </w:r>
      <w:r w:rsidRPr="00876CF5">
        <w:rPr>
          <w:sz w:val="28"/>
          <w:szCs w:val="28"/>
        </w:rPr>
        <w:lastRenderedPageBreak/>
        <w:t>хозяйствующих субъектов и населения по реализации потенциала энергосбережения;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11" w:name="sub_6013"/>
      <w:r w:rsidRPr="00876CF5">
        <w:rPr>
          <w:sz w:val="28"/>
          <w:szCs w:val="28"/>
        </w:rPr>
        <w:t>3. Основные направления развития энергосбережения и повышения энергетической эффективности на территории муниципального образования</w:t>
      </w:r>
    </w:p>
    <w:bookmarkEnd w:id="11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Основными ожидаемыми результатами реализации настоящей программы являются: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экономия средств на приобретении энергетических ресурсов всеми потребителями энергоресурсов;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повышение качества жизни и улучшение здоровья населения;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снижение удельных расходов энергетических ресурсов и воды всеми категориями потребителей в муниципальном образовании;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снижение эксплуатационных издержек при производстве и транспортировке энергетических ресурсов и воды.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12" w:name="sub_6002"/>
      <w:r w:rsidRPr="00876CF5">
        <w:rPr>
          <w:sz w:val="28"/>
          <w:szCs w:val="28"/>
        </w:rPr>
        <w:t>Раздел II. Перечень и сведения о целевых показателях (индикаторах) программы с расшифровкой плановых значений по годам ее реализации</w:t>
      </w:r>
    </w:p>
    <w:bookmarkEnd w:id="12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bookmarkStart w:id="13" w:name="sub_602"/>
      <w:r w:rsidRPr="00876CF5">
        <w:rPr>
          <w:sz w:val="28"/>
          <w:szCs w:val="28"/>
        </w:rPr>
        <w:t>Целевыми показателями (индикаторами) программы являются: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14" w:name="sub_621"/>
      <w:bookmarkEnd w:id="13"/>
      <w:r w:rsidRPr="00876CF5">
        <w:rPr>
          <w:sz w:val="28"/>
          <w:szCs w:val="28"/>
        </w:rPr>
        <w:t>1) целевые показатели, характеризующие оснащенность приборами учета используемых энергетических ресурсов;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15" w:name="sub_622"/>
      <w:bookmarkEnd w:id="14"/>
      <w:r w:rsidRPr="00876CF5">
        <w:rPr>
          <w:sz w:val="28"/>
          <w:szCs w:val="28"/>
        </w:rPr>
        <w:t>2)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энергии;</w:t>
      </w:r>
    </w:p>
    <w:p w:rsidR="00E47F76" w:rsidRPr="00876CF5" w:rsidRDefault="00E47F76" w:rsidP="00E47F76">
      <w:pPr>
        <w:rPr>
          <w:sz w:val="28"/>
          <w:szCs w:val="28"/>
        </w:rPr>
      </w:pPr>
      <w:bookmarkStart w:id="16" w:name="sub_623"/>
      <w:bookmarkEnd w:id="15"/>
      <w:r w:rsidRPr="00876CF5">
        <w:rPr>
          <w:sz w:val="28"/>
          <w:szCs w:val="28"/>
        </w:rPr>
        <w:t>3) целевые показатели в муниципальном секторе;</w:t>
      </w:r>
    </w:p>
    <w:p w:rsidR="00E47F76" w:rsidRPr="00876CF5" w:rsidRDefault="00E47F76" w:rsidP="00E47F76">
      <w:pPr>
        <w:rPr>
          <w:sz w:val="28"/>
          <w:szCs w:val="28"/>
        </w:rPr>
      </w:pPr>
      <w:bookmarkStart w:id="17" w:name="sub_624"/>
      <w:bookmarkEnd w:id="16"/>
      <w:r w:rsidRPr="00876CF5">
        <w:rPr>
          <w:sz w:val="28"/>
          <w:szCs w:val="28"/>
        </w:rPr>
        <w:t>4) целевые показатели в жилищном фонде;</w:t>
      </w:r>
    </w:p>
    <w:p w:rsidR="00E47F76" w:rsidRPr="00876CF5" w:rsidRDefault="00E47F76" w:rsidP="00E47F76">
      <w:pPr>
        <w:rPr>
          <w:sz w:val="28"/>
          <w:szCs w:val="28"/>
        </w:rPr>
      </w:pPr>
      <w:bookmarkStart w:id="18" w:name="sub_625"/>
      <w:bookmarkEnd w:id="17"/>
      <w:r w:rsidRPr="00876CF5">
        <w:rPr>
          <w:sz w:val="28"/>
          <w:szCs w:val="28"/>
        </w:rPr>
        <w:t>5) целевые показатели в промышленности, энергетике и системах коммунальной инфраструктуры;</w:t>
      </w:r>
    </w:p>
    <w:p w:rsidR="00E47F76" w:rsidRPr="00876CF5" w:rsidRDefault="00E47F76" w:rsidP="00E47F76">
      <w:pPr>
        <w:rPr>
          <w:sz w:val="28"/>
          <w:szCs w:val="28"/>
        </w:rPr>
      </w:pPr>
      <w:bookmarkStart w:id="19" w:name="sub_626"/>
      <w:bookmarkEnd w:id="18"/>
      <w:r w:rsidRPr="00876CF5">
        <w:rPr>
          <w:sz w:val="28"/>
          <w:szCs w:val="28"/>
        </w:rPr>
        <w:t>6) целевые показатели в транспортном комплексе.</w:t>
      </w:r>
    </w:p>
    <w:bookmarkEnd w:id="19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оснащенность приборами учета используемых энергетических ресурсов,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20" w:name="sub_627"/>
      <w:r w:rsidRPr="00876CF5">
        <w:rPr>
          <w:sz w:val="28"/>
          <w:szCs w:val="28"/>
        </w:rPr>
        <w:t>а) доля многоквартирных домов, оснащенных коллективными (</w:t>
      </w:r>
      <w:proofErr w:type="spellStart"/>
      <w:r w:rsidRPr="00876CF5">
        <w:rPr>
          <w:sz w:val="28"/>
          <w:szCs w:val="28"/>
        </w:rPr>
        <w:t>общедомовыми</w:t>
      </w:r>
      <w:proofErr w:type="spellEnd"/>
      <w:r w:rsidRPr="00876CF5">
        <w:rPr>
          <w:sz w:val="28"/>
          <w:szCs w:val="28"/>
        </w:rPr>
        <w:t xml:space="preserve">) приборами учета используемых энергетических ресурсов по видам коммунальных ресурсов, в общем числе многоквартирных домов, </w:t>
      </w:r>
      <w:r w:rsidRPr="00876CF5">
        <w:rPr>
          <w:sz w:val="28"/>
          <w:szCs w:val="28"/>
        </w:rPr>
        <w:lastRenderedPageBreak/>
        <w:t>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21" w:name="sub_628"/>
      <w:bookmarkEnd w:id="20"/>
      <w:r w:rsidRPr="00876CF5">
        <w:rPr>
          <w:sz w:val="28"/>
          <w:szCs w:val="28"/>
        </w:rP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22" w:name="sub_629"/>
      <w:bookmarkEnd w:id="21"/>
      <w:r w:rsidRPr="00876CF5">
        <w:rPr>
          <w:sz w:val="28"/>
          <w:szCs w:val="28"/>
        </w:rPr>
        <w:t>в)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учреждениями, процентов.</w:t>
      </w:r>
    </w:p>
    <w:bookmarkEnd w:id="22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23" w:name="sub_6210"/>
      <w:r w:rsidRPr="00876CF5">
        <w:rPr>
          <w:sz w:val="28"/>
          <w:szCs w:val="28"/>
        </w:rPr>
        <w:t>а) 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24" w:name="sub_6211"/>
      <w:bookmarkEnd w:id="23"/>
      <w:r w:rsidRPr="00876CF5">
        <w:rPr>
          <w:sz w:val="28"/>
          <w:szCs w:val="28"/>
        </w:rPr>
        <w:t>б) 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 МВт, МВт.</w:t>
      </w:r>
    </w:p>
    <w:bookmarkEnd w:id="24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потребление энергетических ресурсов в муниципальных организациях, находящихся в ведении органов местного самоуправления,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25" w:name="sub_6212"/>
      <w:r w:rsidRPr="00876CF5">
        <w:rPr>
          <w:sz w:val="28"/>
          <w:szCs w:val="28"/>
        </w:rPr>
        <w:t>а) удельный расход тепловой энергии зданиями и помещениями учебно-воспитательного назначения, Гкал/</w:t>
      </w:r>
      <w:proofErr w:type="gramStart"/>
      <w:r w:rsidRPr="00876CF5">
        <w:rPr>
          <w:sz w:val="28"/>
          <w:szCs w:val="28"/>
        </w:rPr>
        <w:t>м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26" w:name="sub_6213"/>
      <w:bookmarkEnd w:id="25"/>
      <w:r w:rsidRPr="00876CF5">
        <w:rPr>
          <w:sz w:val="28"/>
          <w:szCs w:val="28"/>
        </w:rPr>
        <w:t>б) удельный расход электрической энергии зданиями и помещениями учебно-воспитательного назначения, кВт*ч/м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27" w:name="sub_6214"/>
      <w:bookmarkEnd w:id="26"/>
      <w:r w:rsidRPr="00876CF5">
        <w:rPr>
          <w:sz w:val="28"/>
          <w:szCs w:val="28"/>
        </w:rPr>
        <w:t>в) удельный расход тепловой энергии зданиями и помещениями здравоохранения и социального обслуживания населения, Гкал/м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28" w:name="sub_6215"/>
      <w:bookmarkEnd w:id="27"/>
      <w:r w:rsidRPr="00876CF5">
        <w:rPr>
          <w:sz w:val="28"/>
          <w:szCs w:val="28"/>
        </w:rPr>
        <w:t>г) удельный расход электрической энергии зданиями и помещениями здравоохранения и социального обслуживания населения, кВт*ч 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29" w:name="sub_6216"/>
      <w:bookmarkEnd w:id="28"/>
      <w:proofErr w:type="spellStart"/>
      <w:r w:rsidRPr="00876CF5">
        <w:rPr>
          <w:sz w:val="28"/>
          <w:szCs w:val="28"/>
        </w:rPr>
        <w:t>д</w:t>
      </w:r>
      <w:proofErr w:type="spellEnd"/>
      <w:r w:rsidRPr="00876CF5">
        <w:rPr>
          <w:sz w:val="28"/>
          <w:szCs w:val="28"/>
        </w:rPr>
        <w:t>) объем потребления дизельного и иного топлива, мазута, природного газа, тепловой энергии, электрической энергии, угля и воды муниципальным учреждением, куб. м, Гкал,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.</w:t>
      </w:r>
    </w:p>
    <w:bookmarkEnd w:id="29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использование энергетических ресурсов в жилищно-коммунальном хозяйстве,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30" w:name="sub_6217"/>
      <w:r w:rsidRPr="00876CF5">
        <w:rPr>
          <w:sz w:val="28"/>
          <w:szCs w:val="28"/>
        </w:rPr>
        <w:t>а) доля многоквартирных домов, имеющих класс энергетической эффективности «В» и выше, 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31" w:name="sub_6218"/>
      <w:bookmarkEnd w:id="30"/>
      <w:r w:rsidRPr="00876CF5">
        <w:rPr>
          <w:sz w:val="28"/>
          <w:szCs w:val="28"/>
        </w:rPr>
        <w:t>б) удельный расход тепловой энергии в многоквартирных домах, Гкал/</w:t>
      </w:r>
      <w:proofErr w:type="gramStart"/>
      <w:r w:rsidRPr="00876CF5">
        <w:rPr>
          <w:sz w:val="28"/>
          <w:szCs w:val="28"/>
        </w:rPr>
        <w:t>м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32" w:name="sub_6219"/>
      <w:bookmarkEnd w:id="31"/>
      <w:r w:rsidRPr="00876CF5">
        <w:rPr>
          <w:sz w:val="28"/>
          <w:szCs w:val="28"/>
        </w:rPr>
        <w:t>в) удельный расход электрической энергии в многоквартирных домах, кВт*ч 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33" w:name="sub_6220"/>
      <w:bookmarkEnd w:id="32"/>
      <w:r w:rsidRPr="00876CF5">
        <w:rPr>
          <w:sz w:val="28"/>
          <w:szCs w:val="28"/>
        </w:rPr>
        <w:t xml:space="preserve">г) удельный расход холодной воды в многоквартирных домах (в </w:t>
      </w:r>
      <w:r w:rsidRPr="00876CF5">
        <w:rPr>
          <w:sz w:val="28"/>
          <w:szCs w:val="28"/>
        </w:rPr>
        <w:lastRenderedPageBreak/>
        <w:t>расчете на 1 жителя), куб. м/чел.;</w:t>
      </w:r>
    </w:p>
    <w:p w:rsidR="00E47F76" w:rsidRPr="00876CF5" w:rsidRDefault="00E47F76" w:rsidP="00E47F76">
      <w:pPr>
        <w:rPr>
          <w:sz w:val="28"/>
          <w:szCs w:val="28"/>
        </w:rPr>
      </w:pPr>
      <w:bookmarkStart w:id="34" w:name="sub_6221"/>
      <w:bookmarkEnd w:id="33"/>
      <w:proofErr w:type="spellStart"/>
      <w:r w:rsidRPr="00876CF5">
        <w:rPr>
          <w:sz w:val="28"/>
          <w:szCs w:val="28"/>
        </w:rPr>
        <w:t>д</w:t>
      </w:r>
      <w:proofErr w:type="spellEnd"/>
      <w:r w:rsidRPr="00876CF5">
        <w:rPr>
          <w:sz w:val="28"/>
          <w:szCs w:val="28"/>
        </w:rPr>
        <w:t>) удельный расход горячей воды в многоквартирных домах (в расчете на 1 жителя), куб. м/чел.</w:t>
      </w:r>
    </w:p>
    <w:bookmarkEnd w:id="34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35" w:name="sub_6222"/>
      <w:r w:rsidRPr="00876CF5">
        <w:rPr>
          <w:sz w:val="28"/>
          <w:szCs w:val="28"/>
        </w:rPr>
        <w:t xml:space="preserve">а) энергоемкость промышленного производства для производства трех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топлива/ед. продукции;</w:t>
      </w:r>
    </w:p>
    <w:p w:rsidR="00E47F76" w:rsidRPr="00876CF5" w:rsidRDefault="00E47F76" w:rsidP="00E47F76">
      <w:pPr>
        <w:rPr>
          <w:sz w:val="28"/>
          <w:szCs w:val="28"/>
        </w:rPr>
      </w:pPr>
      <w:bookmarkStart w:id="36" w:name="sub_6223"/>
      <w:bookmarkEnd w:id="35"/>
      <w:r w:rsidRPr="00876CF5">
        <w:rPr>
          <w:sz w:val="28"/>
          <w:szCs w:val="28"/>
        </w:rPr>
        <w:t xml:space="preserve">б) удельный расход топлива на отпуск электрической энергии тепловыми электростанциями,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топлива/млн.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bookmarkStart w:id="37" w:name="sub_6224"/>
      <w:bookmarkEnd w:id="36"/>
      <w:r w:rsidRPr="00876CF5">
        <w:rPr>
          <w:sz w:val="28"/>
          <w:szCs w:val="28"/>
        </w:rPr>
        <w:t xml:space="preserve">в) удельный расход топлива на отпущенную тепловую энергию с коллекторов тепловых электростанций,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топлива/тыс. Гкал;</w:t>
      </w:r>
    </w:p>
    <w:p w:rsidR="00E47F76" w:rsidRPr="00876CF5" w:rsidRDefault="00E47F76" w:rsidP="00E47F76">
      <w:pPr>
        <w:rPr>
          <w:sz w:val="28"/>
          <w:szCs w:val="28"/>
        </w:rPr>
      </w:pPr>
      <w:bookmarkStart w:id="38" w:name="sub_6225"/>
      <w:bookmarkEnd w:id="37"/>
      <w:r w:rsidRPr="00876CF5">
        <w:rPr>
          <w:sz w:val="28"/>
          <w:szCs w:val="28"/>
        </w:rPr>
        <w:t xml:space="preserve">г) удельный расход топлива на отпущенную с коллекторов котельных в тепловую сеть тепловую энергию,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топлива/тыс. Гкал;</w:t>
      </w:r>
    </w:p>
    <w:p w:rsidR="00E47F76" w:rsidRPr="00876CF5" w:rsidRDefault="00E47F76" w:rsidP="00E47F76">
      <w:pPr>
        <w:rPr>
          <w:sz w:val="28"/>
          <w:szCs w:val="28"/>
        </w:rPr>
      </w:pPr>
      <w:bookmarkStart w:id="39" w:name="sub_6226"/>
      <w:bookmarkEnd w:id="38"/>
      <w:proofErr w:type="spellStart"/>
      <w:r w:rsidRPr="00876CF5">
        <w:rPr>
          <w:sz w:val="28"/>
          <w:szCs w:val="28"/>
        </w:rPr>
        <w:t>д</w:t>
      </w:r>
      <w:proofErr w:type="spellEnd"/>
      <w:r w:rsidRPr="00876CF5">
        <w:rPr>
          <w:sz w:val="28"/>
          <w:szCs w:val="28"/>
        </w:rPr>
        <w:t>) доля потерь электрической энергии при ее передаче по распределительным сетям в общем объеме переданной электрической энергии, 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40" w:name="sub_6227"/>
      <w:bookmarkEnd w:id="39"/>
      <w:r w:rsidRPr="00876CF5">
        <w:rPr>
          <w:sz w:val="28"/>
          <w:szCs w:val="28"/>
        </w:rPr>
        <w:t>е) доля потерь тепловой энергии при ее передаче в общем объеме переданной тепловой энергии, процентов;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41" w:name="sub_6228"/>
      <w:bookmarkEnd w:id="40"/>
      <w:r w:rsidRPr="00876CF5">
        <w:rPr>
          <w:sz w:val="28"/>
          <w:szCs w:val="28"/>
        </w:rPr>
        <w:t xml:space="preserve">ж) доля </w:t>
      </w:r>
      <w:proofErr w:type="spellStart"/>
      <w:r w:rsidRPr="00876CF5">
        <w:rPr>
          <w:sz w:val="28"/>
          <w:szCs w:val="28"/>
        </w:rPr>
        <w:t>энергоэффективных</w:t>
      </w:r>
      <w:proofErr w:type="spellEnd"/>
      <w:r w:rsidRPr="00876CF5">
        <w:rPr>
          <w:sz w:val="28"/>
          <w:szCs w:val="28"/>
        </w:rPr>
        <w:t xml:space="preserve"> источников света в системах уличного освещения, процентов.</w:t>
      </w:r>
    </w:p>
    <w:bookmarkEnd w:id="41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 целевым показателям, характеризующим использование энергетических ресурсов в транспортном комплексе, относятся:</w:t>
      </w:r>
    </w:p>
    <w:p w:rsidR="00E47F76" w:rsidRPr="00876CF5" w:rsidRDefault="00E47F76" w:rsidP="00E47F76">
      <w:pPr>
        <w:rPr>
          <w:sz w:val="28"/>
          <w:szCs w:val="28"/>
        </w:rPr>
      </w:pPr>
      <w:bookmarkStart w:id="42" w:name="sub_6229"/>
      <w:r w:rsidRPr="00876CF5">
        <w:rPr>
          <w:sz w:val="28"/>
          <w:szCs w:val="28"/>
        </w:rPr>
        <w:t>а)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единиц;</w:t>
      </w:r>
    </w:p>
    <w:p w:rsidR="00E47F76" w:rsidRPr="00876CF5" w:rsidRDefault="00E47F76" w:rsidP="00E47F76">
      <w:pPr>
        <w:rPr>
          <w:sz w:val="28"/>
          <w:szCs w:val="28"/>
        </w:rPr>
      </w:pPr>
      <w:bookmarkStart w:id="43" w:name="sub_6230"/>
      <w:bookmarkEnd w:id="42"/>
      <w:r w:rsidRPr="00876CF5">
        <w:rPr>
          <w:sz w:val="28"/>
          <w:szCs w:val="28"/>
        </w:rPr>
        <w:t>б)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единиц;</w:t>
      </w:r>
    </w:p>
    <w:p w:rsidR="00E47F76" w:rsidRPr="00876CF5" w:rsidRDefault="00E47F76" w:rsidP="00E47F76">
      <w:pPr>
        <w:rPr>
          <w:sz w:val="28"/>
          <w:szCs w:val="28"/>
        </w:rPr>
      </w:pPr>
      <w:bookmarkStart w:id="44" w:name="sub_6231"/>
      <w:bookmarkEnd w:id="43"/>
      <w:r w:rsidRPr="00876CF5">
        <w:rPr>
          <w:sz w:val="28"/>
          <w:szCs w:val="28"/>
        </w:rPr>
        <w:t>в) 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образования, единиц;</w:t>
      </w:r>
    </w:p>
    <w:p w:rsidR="00E47F76" w:rsidRPr="00876CF5" w:rsidRDefault="00E47F76" w:rsidP="00E47F76">
      <w:pPr>
        <w:rPr>
          <w:sz w:val="28"/>
          <w:szCs w:val="28"/>
        </w:rPr>
      </w:pPr>
      <w:bookmarkStart w:id="45" w:name="sub_6232"/>
      <w:bookmarkEnd w:id="44"/>
      <w:r w:rsidRPr="00876CF5">
        <w:rPr>
          <w:sz w:val="28"/>
          <w:szCs w:val="28"/>
        </w:rPr>
        <w:t>г) количество электромобилей легковых с автономным источником электрического питания, зарегистрированных на территории муниципального образования, единиц;</w:t>
      </w:r>
    </w:p>
    <w:p w:rsidR="00E47F76" w:rsidRPr="00876CF5" w:rsidRDefault="00E47F76" w:rsidP="00E47F76">
      <w:pPr>
        <w:rPr>
          <w:sz w:val="28"/>
          <w:szCs w:val="28"/>
        </w:rPr>
      </w:pPr>
      <w:bookmarkStart w:id="46" w:name="sub_6233"/>
      <w:bookmarkEnd w:id="45"/>
      <w:proofErr w:type="spellStart"/>
      <w:r w:rsidRPr="00876CF5">
        <w:rPr>
          <w:sz w:val="28"/>
          <w:szCs w:val="28"/>
        </w:rPr>
        <w:t>д</w:t>
      </w:r>
      <w:proofErr w:type="spellEnd"/>
      <w:r w:rsidRPr="00876CF5">
        <w:rPr>
          <w:sz w:val="28"/>
          <w:szCs w:val="28"/>
        </w:rPr>
        <w:t>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единиц.</w:t>
      </w:r>
    </w:p>
    <w:bookmarkEnd w:id="46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результате реализации мероприятий программы ожидается </w:t>
      </w:r>
      <w:r w:rsidRPr="00876CF5">
        <w:rPr>
          <w:sz w:val="28"/>
          <w:szCs w:val="28"/>
        </w:rPr>
        <w:lastRenderedPageBreak/>
        <w:t>достижение к 2031 году следующих целевых показателей (индикаторов):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количество </w:t>
      </w:r>
      <w:proofErr w:type="spellStart"/>
      <w:r w:rsidRPr="00876CF5">
        <w:rPr>
          <w:sz w:val="28"/>
          <w:szCs w:val="28"/>
        </w:rPr>
        <w:t>энергосервисных</w:t>
      </w:r>
      <w:proofErr w:type="spellEnd"/>
      <w:r w:rsidRPr="00876CF5">
        <w:rPr>
          <w:sz w:val="28"/>
          <w:szCs w:val="28"/>
        </w:rPr>
        <w:t xml:space="preserve"> договоров (контрактов), 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многоквартирных домов, оснащенных коллективными (</w:t>
      </w:r>
      <w:proofErr w:type="spellStart"/>
      <w:r w:rsidRPr="00876CF5">
        <w:rPr>
          <w:sz w:val="28"/>
          <w:szCs w:val="28"/>
        </w:rPr>
        <w:t>общедомовыми</w:t>
      </w:r>
      <w:proofErr w:type="spellEnd"/>
      <w:r w:rsidRPr="00876CF5">
        <w:rPr>
          <w:sz w:val="28"/>
          <w:szCs w:val="28"/>
        </w:rPr>
        <w:t>) приборами учета электрической энергии, в общем числе многоквартирных домов: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многоквартирных домов, оснащенных коллективными (</w:t>
      </w:r>
      <w:proofErr w:type="spellStart"/>
      <w:r w:rsidRPr="00876CF5">
        <w:rPr>
          <w:sz w:val="28"/>
          <w:szCs w:val="28"/>
        </w:rPr>
        <w:t>общедомовыми</w:t>
      </w:r>
      <w:proofErr w:type="spellEnd"/>
      <w:r w:rsidRPr="00876CF5">
        <w:rPr>
          <w:sz w:val="28"/>
          <w:szCs w:val="28"/>
        </w:rPr>
        <w:t xml:space="preserve">) приборами 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многоквартирных домов, оснащенных коллективными (</w:t>
      </w:r>
      <w:proofErr w:type="spellStart"/>
      <w:r w:rsidRPr="00876CF5">
        <w:rPr>
          <w:sz w:val="28"/>
          <w:szCs w:val="28"/>
        </w:rPr>
        <w:t>общедомовыми</w:t>
      </w:r>
      <w:proofErr w:type="spellEnd"/>
      <w:r w:rsidRPr="00876CF5">
        <w:rPr>
          <w:sz w:val="28"/>
          <w:szCs w:val="28"/>
        </w:rPr>
        <w:t>) приборами учета природного газа, в общем числе многоквартирных домов: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- 0,0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62,5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62,5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62,5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- 62,5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доля жилых, нежилых помещений в многоквартирных домах, жилых </w:t>
      </w:r>
      <w:r w:rsidRPr="00876CF5">
        <w:rPr>
          <w:sz w:val="28"/>
          <w:szCs w:val="28"/>
        </w:rPr>
        <w:lastRenderedPageBreak/>
        <w:t>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37,5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37,5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37,5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- 37,5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потребляемой муниципальными учреждениями электрической энергии, приобретенной по приборам учета, в общем объеме потребляемой электрической энергии муниципальными учреждениями: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- 100 процентов;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ввод мощностей генерирующих объектов, функционирующих на основе использования возобновляемых источников энергии, на территории муниципального образования (без учета гидроэлектростанций установленной мощностью свыше 10 МВт):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 МВт;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 МВт;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 МВт;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 МВт;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энергоемкость промышленного производства для производства трех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2023 году – 0,0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 на ед. продукции;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2024 году – 0,0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 на ед. продукции;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2025 году – 0,0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 на ед. продукции;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2026 - 2030 году – 0,0 тонны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 на ед. продукции;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lastRenderedPageBreak/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 единиц;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удельный расход электрической энергии в многоквартирных домах, расположенных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10,96 кВт*ч/м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10,96 кВт*ч/м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10,96  кВт*ч/м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– 10,96 кВт*ч/м</w:t>
      </w:r>
      <w:proofErr w:type="gramStart"/>
      <w:r w:rsidRPr="00876CF5">
        <w:rPr>
          <w:sz w:val="28"/>
          <w:szCs w:val="28"/>
          <w:vertAlign w:val="superscript"/>
        </w:rPr>
        <w:t>2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многоквартирных домов, имеющих класс энергетической эффективности «B» и выше: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удельный расход топлива на отпуск электрической энергии тепловыми электростанциями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2023 году – 0,0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топлива/млн.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2024 году – 0,0 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топлива/млн.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2025 году – 0,0 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топлива/млн.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2026 - 2030 году – 0,0  тонн </w:t>
      </w:r>
      <w:proofErr w:type="spellStart"/>
      <w:r w:rsidRPr="00876CF5">
        <w:rPr>
          <w:sz w:val="28"/>
          <w:szCs w:val="28"/>
        </w:rPr>
        <w:t>усл</w:t>
      </w:r>
      <w:proofErr w:type="spellEnd"/>
      <w:r w:rsidRPr="00876CF5">
        <w:rPr>
          <w:sz w:val="28"/>
          <w:szCs w:val="28"/>
        </w:rPr>
        <w:t>. топлива/млн.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lastRenderedPageBreak/>
        <w:t>в 2024 году – 0,0процента;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доля </w:t>
      </w:r>
      <w:proofErr w:type="spellStart"/>
      <w:r w:rsidRPr="00876CF5">
        <w:rPr>
          <w:sz w:val="28"/>
          <w:szCs w:val="28"/>
        </w:rPr>
        <w:t>энергоэффективных</w:t>
      </w:r>
      <w:proofErr w:type="spellEnd"/>
      <w:r w:rsidRPr="00876CF5">
        <w:rPr>
          <w:sz w:val="28"/>
          <w:szCs w:val="28"/>
        </w:rPr>
        <w:t xml:space="preserve"> источников света в системах уличного освещения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90,0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90,0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90,0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– 90,0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доля </w:t>
      </w:r>
      <w:proofErr w:type="spellStart"/>
      <w:r w:rsidRPr="00876CF5">
        <w:rPr>
          <w:sz w:val="28"/>
          <w:szCs w:val="28"/>
        </w:rPr>
        <w:t>энергоэффективных</w:t>
      </w:r>
      <w:proofErr w:type="spellEnd"/>
      <w:r w:rsidRPr="00876CF5">
        <w:rPr>
          <w:sz w:val="28"/>
          <w:szCs w:val="28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– 0,0 процента;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объем потребления </w:t>
      </w:r>
      <w:proofErr w:type="spellStart"/>
      <w:r w:rsidRPr="00876CF5">
        <w:rPr>
          <w:sz w:val="28"/>
          <w:szCs w:val="28"/>
        </w:rPr>
        <w:t>природого</w:t>
      </w:r>
      <w:proofErr w:type="spellEnd"/>
      <w:r w:rsidRPr="00876CF5">
        <w:rPr>
          <w:sz w:val="28"/>
          <w:szCs w:val="28"/>
        </w:rPr>
        <w:t xml:space="preserve"> газа муниципальными учреждениями: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4640 Гкал;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4640 Гкал;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 4640 Гкал;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– 4640 Гкал;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объем потребления электрической энергии муниципальными учреждениями: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- 5410,0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- 5410,0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- 5410,0 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2026 - 2030 году - 5410,0кВт*</w:t>
      </w:r>
      <w:proofErr w:type="gramStart"/>
      <w:r w:rsidRPr="00876CF5">
        <w:rPr>
          <w:sz w:val="28"/>
          <w:szCs w:val="28"/>
        </w:rPr>
        <w:t>ч</w:t>
      </w:r>
      <w:proofErr w:type="gramEnd"/>
      <w:r w:rsidRPr="00876CF5">
        <w:rPr>
          <w:sz w:val="28"/>
          <w:szCs w:val="28"/>
        </w:rPr>
        <w:t>;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47" w:name="sub_6003"/>
      <w:r w:rsidRPr="00876CF5">
        <w:rPr>
          <w:sz w:val="28"/>
          <w:szCs w:val="28"/>
        </w:rPr>
        <w:t>Раздел III. Характеристики основных мероприятий, мероприятий программы с указанием сроков и этапов их реализации</w:t>
      </w:r>
    </w:p>
    <w:bookmarkEnd w:id="47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рамках программы будут реализованы мероприятия по энергосбережению и повышению энергетической эффективности, в том числе:</w:t>
      </w:r>
    </w:p>
    <w:p w:rsidR="00E47F76" w:rsidRPr="00876CF5" w:rsidRDefault="00E47F76" w:rsidP="00E47F76">
      <w:pPr>
        <w:rPr>
          <w:sz w:val="28"/>
          <w:szCs w:val="28"/>
        </w:rPr>
      </w:pPr>
      <w:bookmarkStart w:id="48" w:name="sub_631"/>
      <w:r w:rsidRPr="00876CF5">
        <w:rPr>
          <w:sz w:val="28"/>
          <w:szCs w:val="28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E47F76" w:rsidRPr="00876CF5" w:rsidRDefault="00E47F76" w:rsidP="00E47F76">
      <w:pPr>
        <w:rPr>
          <w:sz w:val="28"/>
          <w:szCs w:val="28"/>
        </w:rPr>
      </w:pPr>
      <w:bookmarkStart w:id="49" w:name="sub_632"/>
      <w:bookmarkEnd w:id="48"/>
      <w:r w:rsidRPr="00876CF5">
        <w:rPr>
          <w:sz w:val="28"/>
          <w:szCs w:val="28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876CF5">
        <w:rPr>
          <w:sz w:val="28"/>
          <w:szCs w:val="28"/>
        </w:rPr>
        <w:t>энергоэффективного</w:t>
      </w:r>
      <w:proofErr w:type="spellEnd"/>
      <w:r w:rsidRPr="00876CF5">
        <w:rPr>
          <w:sz w:val="28"/>
          <w:szCs w:val="28"/>
        </w:rPr>
        <w:t xml:space="preserve"> капитального ремонта общего имущества в многоквартирных домах;</w:t>
      </w:r>
    </w:p>
    <w:p w:rsidR="00E47F76" w:rsidRPr="00876CF5" w:rsidRDefault="00E47F76" w:rsidP="00E47F76">
      <w:pPr>
        <w:rPr>
          <w:sz w:val="28"/>
          <w:szCs w:val="28"/>
        </w:rPr>
      </w:pPr>
      <w:bookmarkStart w:id="50" w:name="sub_633"/>
      <w:bookmarkEnd w:id="49"/>
      <w:r w:rsidRPr="00876CF5">
        <w:rPr>
          <w:sz w:val="28"/>
          <w:szCs w:val="28"/>
        </w:rPr>
        <w:t>в) по энергосбережению и повышению энергетической эффективности систем коммунальной инфраструктуры, направленных на развитие жилищно-коммунального хозяйства;</w:t>
      </w:r>
    </w:p>
    <w:p w:rsidR="00E47F76" w:rsidRPr="00876CF5" w:rsidRDefault="00E47F76" w:rsidP="00E47F76">
      <w:pPr>
        <w:rPr>
          <w:sz w:val="28"/>
          <w:szCs w:val="28"/>
        </w:rPr>
      </w:pPr>
      <w:bookmarkStart w:id="51" w:name="sub_634"/>
      <w:bookmarkEnd w:id="50"/>
      <w:r w:rsidRPr="00876CF5">
        <w:rPr>
          <w:sz w:val="28"/>
          <w:szCs w:val="28"/>
        </w:rPr>
        <w:lastRenderedPageBreak/>
        <w:t>г) по оснащению приборами учета используемых энергетических ресурсов в организациях с участием муниципального образования, в том числе с использованием интеллектуальных приборов учета, автоматизированных систем, систем диспетчеризации и систем удаленного сбора данных;</w:t>
      </w:r>
    </w:p>
    <w:p w:rsidR="00E47F76" w:rsidRPr="00876CF5" w:rsidRDefault="00E47F76" w:rsidP="00E47F76">
      <w:pPr>
        <w:rPr>
          <w:sz w:val="28"/>
          <w:szCs w:val="28"/>
        </w:rPr>
      </w:pPr>
      <w:bookmarkStart w:id="52" w:name="sub_635"/>
      <w:bookmarkEnd w:id="51"/>
      <w:proofErr w:type="spellStart"/>
      <w:r w:rsidRPr="00876CF5">
        <w:rPr>
          <w:sz w:val="28"/>
          <w:szCs w:val="28"/>
        </w:rPr>
        <w:t>д</w:t>
      </w:r>
      <w:proofErr w:type="spellEnd"/>
      <w:r w:rsidRPr="00876CF5">
        <w:rPr>
          <w:sz w:val="28"/>
          <w:szCs w:val="28"/>
        </w:rPr>
        <w:t>) по энергосбережению в организациях с участием муниципального образования и повышению энергетической эффективности этих организаций;</w:t>
      </w:r>
    </w:p>
    <w:p w:rsidR="00E47F76" w:rsidRPr="00876CF5" w:rsidRDefault="00E47F76" w:rsidP="00E47F76">
      <w:pPr>
        <w:rPr>
          <w:sz w:val="28"/>
          <w:szCs w:val="28"/>
        </w:rPr>
      </w:pPr>
      <w:bookmarkStart w:id="53" w:name="sub_636"/>
      <w:bookmarkEnd w:id="52"/>
      <w:r w:rsidRPr="00876CF5">
        <w:rPr>
          <w:sz w:val="28"/>
          <w:szCs w:val="28"/>
        </w:rPr>
        <w:t>е)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E47F76" w:rsidRPr="00876CF5" w:rsidRDefault="00E47F76" w:rsidP="00E47F76">
      <w:pPr>
        <w:rPr>
          <w:sz w:val="28"/>
          <w:szCs w:val="28"/>
        </w:rPr>
      </w:pPr>
      <w:bookmarkStart w:id="54" w:name="sub_637"/>
      <w:bookmarkEnd w:id="53"/>
      <w:proofErr w:type="gramStart"/>
      <w:r w:rsidRPr="00876CF5">
        <w:rPr>
          <w:sz w:val="28"/>
          <w:szCs w:val="28"/>
        </w:rPr>
        <w:t>ж)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  <w:proofErr w:type="gramEnd"/>
    </w:p>
    <w:p w:rsidR="00E47F76" w:rsidRPr="00876CF5" w:rsidRDefault="00E47F76" w:rsidP="00E47F76">
      <w:pPr>
        <w:rPr>
          <w:sz w:val="28"/>
          <w:szCs w:val="28"/>
        </w:rPr>
      </w:pPr>
      <w:bookmarkStart w:id="55" w:name="sub_638"/>
      <w:bookmarkEnd w:id="54"/>
      <w:proofErr w:type="spellStart"/>
      <w:r w:rsidRPr="00876CF5">
        <w:rPr>
          <w:sz w:val="28"/>
          <w:szCs w:val="28"/>
        </w:rPr>
        <w:t>з</w:t>
      </w:r>
      <w:proofErr w:type="spellEnd"/>
      <w:r w:rsidRPr="00876CF5">
        <w:rPr>
          <w:sz w:val="28"/>
          <w:szCs w:val="28"/>
        </w:rPr>
        <w:t>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E47F76" w:rsidRPr="00876CF5" w:rsidRDefault="00E47F76" w:rsidP="00E47F76">
      <w:pPr>
        <w:rPr>
          <w:sz w:val="28"/>
          <w:szCs w:val="28"/>
        </w:rPr>
      </w:pPr>
      <w:bookmarkStart w:id="56" w:name="sub_639"/>
      <w:bookmarkEnd w:id="55"/>
      <w:r w:rsidRPr="00876CF5">
        <w:rPr>
          <w:sz w:val="28"/>
          <w:szCs w:val="28"/>
        </w:rPr>
        <w:t>и) по увеличению объемов использования в качестве источников энергии вторичных энергетических ресурсов и (или) возобновляемых источников энергии, в том числе установке и внедрению солнечных электрических систем (</w:t>
      </w:r>
      <w:proofErr w:type="spellStart"/>
      <w:r w:rsidRPr="00876CF5">
        <w:rPr>
          <w:sz w:val="28"/>
          <w:szCs w:val="28"/>
        </w:rPr>
        <w:t>крышных</w:t>
      </w:r>
      <w:proofErr w:type="spellEnd"/>
      <w:r w:rsidRPr="00876CF5">
        <w:rPr>
          <w:sz w:val="28"/>
          <w:szCs w:val="28"/>
        </w:rPr>
        <w:t xml:space="preserve"> и фасадных), а также строительству солнечных электростанций;</w:t>
      </w:r>
    </w:p>
    <w:p w:rsidR="00E47F76" w:rsidRPr="00876CF5" w:rsidRDefault="00E47F76" w:rsidP="00E47F76">
      <w:pPr>
        <w:rPr>
          <w:sz w:val="28"/>
          <w:szCs w:val="28"/>
        </w:rPr>
      </w:pPr>
      <w:bookmarkStart w:id="57" w:name="sub_6310"/>
      <w:bookmarkEnd w:id="56"/>
      <w:proofErr w:type="gramStart"/>
      <w:r w:rsidRPr="00876CF5">
        <w:rPr>
          <w:sz w:val="28"/>
          <w:szCs w:val="28"/>
        </w:rPr>
        <w:t>к)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</w:t>
      </w:r>
      <w:proofErr w:type="gramEnd"/>
      <w:r w:rsidRPr="00876CF5">
        <w:rPr>
          <w:sz w:val="28"/>
          <w:szCs w:val="28"/>
        </w:rPr>
        <w:t xml:space="preserve"> видов моторного топлива и экономической целесообразности такого замещения;</w:t>
      </w:r>
    </w:p>
    <w:p w:rsidR="00E47F76" w:rsidRPr="00876CF5" w:rsidRDefault="00E47F76" w:rsidP="00E47F76">
      <w:pPr>
        <w:rPr>
          <w:sz w:val="28"/>
          <w:szCs w:val="28"/>
        </w:rPr>
      </w:pPr>
      <w:bookmarkStart w:id="58" w:name="sub_6311"/>
      <w:bookmarkEnd w:id="57"/>
      <w:r w:rsidRPr="00876CF5">
        <w:rPr>
          <w:sz w:val="28"/>
          <w:szCs w:val="28"/>
        </w:rPr>
        <w:t>л) по иным вопросам, определенным органами государственной власти Липецкой области, органами местного самоуправления;</w:t>
      </w:r>
    </w:p>
    <w:p w:rsidR="00E47F76" w:rsidRPr="00876CF5" w:rsidRDefault="00E47F76" w:rsidP="00E47F76">
      <w:pPr>
        <w:rPr>
          <w:sz w:val="28"/>
          <w:szCs w:val="28"/>
        </w:rPr>
      </w:pPr>
      <w:bookmarkStart w:id="59" w:name="sub_6312"/>
      <w:bookmarkEnd w:id="58"/>
      <w:r w:rsidRPr="00876CF5">
        <w:rPr>
          <w:sz w:val="28"/>
          <w:szCs w:val="28"/>
        </w:rPr>
        <w:t xml:space="preserve">м) по информационному обеспечению указанных в </w:t>
      </w:r>
      <w:hyperlink w:anchor="sub_631" w:history="1">
        <w:r w:rsidRPr="00876CF5">
          <w:rPr>
            <w:sz w:val="28"/>
            <w:szCs w:val="28"/>
          </w:rPr>
          <w:t>подпунктах «а» - «</w:t>
        </w:r>
        <w:proofErr w:type="gramStart"/>
        <w:r w:rsidRPr="00876CF5">
          <w:rPr>
            <w:sz w:val="28"/>
            <w:szCs w:val="28"/>
          </w:rPr>
          <w:t>к</w:t>
        </w:r>
        <w:proofErr w:type="gramEnd"/>
      </w:hyperlink>
      <w:r w:rsidRPr="00876CF5">
        <w:rPr>
          <w:sz w:val="28"/>
          <w:szCs w:val="28"/>
        </w:rPr>
        <w:t xml:space="preserve">» </w:t>
      </w:r>
      <w:proofErr w:type="gramStart"/>
      <w:r w:rsidRPr="00876CF5">
        <w:rPr>
          <w:sz w:val="28"/>
          <w:szCs w:val="28"/>
        </w:rPr>
        <w:t>настоящего</w:t>
      </w:r>
      <w:proofErr w:type="gramEnd"/>
      <w:r w:rsidRPr="00876CF5">
        <w:rPr>
          <w:sz w:val="28"/>
          <w:szCs w:val="28"/>
        </w:rPr>
        <w:t xml:space="preserve"> раздела мероприятий, в том числе информированию потребителей энергетических ресурсов об указанных мероприятиях и о </w:t>
      </w:r>
      <w:r w:rsidRPr="00876CF5">
        <w:rPr>
          <w:sz w:val="28"/>
          <w:szCs w:val="28"/>
        </w:rPr>
        <w:lastRenderedPageBreak/>
        <w:t>способах энергосбережения и повышения энергетической эффективности;</w:t>
      </w:r>
    </w:p>
    <w:p w:rsidR="00E47F76" w:rsidRPr="00876CF5" w:rsidRDefault="00E47F76" w:rsidP="00E47F76">
      <w:pPr>
        <w:rPr>
          <w:sz w:val="28"/>
          <w:szCs w:val="28"/>
        </w:rPr>
      </w:pPr>
      <w:bookmarkStart w:id="60" w:name="sub_6313"/>
      <w:bookmarkEnd w:id="59"/>
      <w:proofErr w:type="spellStart"/>
      <w:r w:rsidRPr="00876CF5">
        <w:rPr>
          <w:sz w:val="28"/>
          <w:szCs w:val="28"/>
        </w:rPr>
        <w:t>н</w:t>
      </w:r>
      <w:proofErr w:type="spellEnd"/>
      <w:r w:rsidRPr="00876CF5">
        <w:rPr>
          <w:sz w:val="28"/>
          <w:szCs w:val="28"/>
        </w:rPr>
        <w:t>) по внедрению принципов качественного, экологического, социального и корпоративного управления (ESG) в деятельности хозяйствующих субъектов.</w:t>
      </w:r>
    </w:p>
    <w:bookmarkEnd w:id="60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Основные мероприятия программы направлены на реализацию поставленных целей и задач программы и представляют собой систему мер, сгруппированных по сферам реализации, скоординированных по срокам и ответственным исполнителям, и обеспечивают комплексный подход и координацию работы всех участников программы с целью достижения намеченных результатов.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Программа объединяет четыре основных мероприятия: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Основное мероприятие 1 «Организационные мероприятия».</w:t>
      </w:r>
    </w:p>
    <w:p w:rsidR="00E47F76" w:rsidRPr="00876CF5" w:rsidRDefault="00E47F76" w:rsidP="00E47F76">
      <w:pPr>
        <w:rPr>
          <w:sz w:val="28"/>
          <w:szCs w:val="28"/>
        </w:rPr>
      </w:pPr>
      <w:proofErr w:type="gramStart"/>
      <w:r w:rsidRPr="00876CF5">
        <w:rPr>
          <w:sz w:val="28"/>
          <w:szCs w:val="28"/>
        </w:rPr>
        <w:t xml:space="preserve">Реализация основного мероприятия обеспечит формирование системы мониторинга, контроля энергопотребления и действенных стимулов к энергосбережению на всех уровнях бюджетной системы муниципального образования, создание эффективной организационной, информационно-консультационной и образовательной поддержки реализации мероприятий в области энергосбережения и повышения энергетической эффективности, а также обеспечит условия для привлечения внебюджетных средств на основе </w:t>
      </w:r>
      <w:proofErr w:type="spellStart"/>
      <w:r w:rsidRPr="00876CF5">
        <w:rPr>
          <w:sz w:val="28"/>
          <w:szCs w:val="28"/>
        </w:rPr>
        <w:t>энергосервисных</w:t>
      </w:r>
      <w:proofErr w:type="spellEnd"/>
      <w:r w:rsidRPr="00876CF5">
        <w:rPr>
          <w:sz w:val="28"/>
          <w:szCs w:val="28"/>
        </w:rPr>
        <w:t xml:space="preserve"> контрактов для реализации энергосберегающих проектов.</w:t>
      </w:r>
      <w:proofErr w:type="gramEnd"/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1.1 «Мониторинг и разработка нормативных правовых актов муниципального образования в сфере энергосбережения и повышения энергетической эффективности».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1.2 «Организация и проведение обучающих семинаров, конкурсов, конференций по вопросам энергосбережения и повышения энергетической эффективности».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1.3 «Информационная поддержка и пропаганда энергосбережения и повышения энергетической эффективности на территории муниципального образования».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1.4 «Разработка и корректировка программ энергосбережения организаций, подведомственных органам местного самоуправления».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Мероприятие 1.5 «Содействие заключению </w:t>
      </w:r>
      <w:proofErr w:type="spellStart"/>
      <w:r w:rsidRPr="00876CF5">
        <w:rPr>
          <w:sz w:val="28"/>
          <w:szCs w:val="28"/>
        </w:rPr>
        <w:t>энергосервисных</w:t>
      </w:r>
      <w:proofErr w:type="spellEnd"/>
      <w:r w:rsidRPr="00876CF5">
        <w:rPr>
          <w:sz w:val="28"/>
          <w:szCs w:val="28"/>
        </w:rPr>
        <w:t xml:space="preserve"> договоров (контрактов) муниципальными учреждениями, органами местного самоуправления».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Основное мероприятие 2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отдельных отраслях экономики».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Основное мероприятие направлено на снижение издержек производства за счет снижения расходов на приобретаемые энергоресурсы, снижение затрат энергоресурсов на производство единицы продукции и повышение конкурентоспособности продукции на рынке, а также на освобождение дополнительных финансовых сре</w:t>
      </w:r>
      <w:proofErr w:type="gramStart"/>
      <w:r w:rsidRPr="00876CF5">
        <w:rPr>
          <w:sz w:val="28"/>
          <w:szCs w:val="28"/>
        </w:rPr>
        <w:t>дств дл</w:t>
      </w:r>
      <w:proofErr w:type="gramEnd"/>
      <w:r w:rsidRPr="00876CF5">
        <w:rPr>
          <w:sz w:val="28"/>
          <w:szCs w:val="28"/>
        </w:rPr>
        <w:t xml:space="preserve">я модернизации производственных мощностей и расширение производства в самых </w:t>
      </w:r>
      <w:r w:rsidRPr="00876CF5">
        <w:rPr>
          <w:sz w:val="28"/>
          <w:szCs w:val="28"/>
        </w:rPr>
        <w:lastRenderedPageBreak/>
        <w:t>энергоемких отраслях экономики муниципального образования.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2.1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промышленности».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2.2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топливно-энергетическом комплексе».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2.3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сельском хозяйстве».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2.4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транспортном комплексе».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Основное мероприятие 3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жилищно-коммунальном хозяйстве и жилищном фонде».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Реализация основного мероприятия позволит снизить вероятность возникновения аварий за счет обновления и модернизации электрооборудования, газового оборудования, системы тепло-, водоснабжения и канализации, а также создаст комфортные условия для проживания населения и снизит расходы граждан на оплату жилищно-коммунальных услуг.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жилищно-коммунальном хозяйстве».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3.1.1 «Теплоснабжение».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3.1.2 «Электроснабжение».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3.1.2.1 «Реализация мероприятия по разработке топливно-энергетического баланса муниципального образования».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3.1.2.2 «Мероприятия по энергосбережению и повышению энергетической эффективности в области электроэнергетики».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3.1.3 «Водоснабжение и водоотведение».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3.2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жилищном фонде».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Основное мероприятие 4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бюджетном секторе».</w:t>
      </w:r>
    </w:p>
    <w:p w:rsidR="00E47F76" w:rsidRPr="00876CF5" w:rsidRDefault="00E47F76" w:rsidP="00E47F76">
      <w:pPr>
        <w:rPr>
          <w:sz w:val="28"/>
          <w:szCs w:val="28"/>
        </w:rPr>
      </w:pPr>
      <w:proofErr w:type="gramStart"/>
      <w:r w:rsidRPr="00876CF5">
        <w:rPr>
          <w:sz w:val="28"/>
          <w:szCs w:val="28"/>
        </w:rPr>
        <w:t xml:space="preserve">Мероприятием предусмотрены замена устаревших приборов учета на приборы повышенного класса точности, модернизация систем приточно-вытяжной вентиляции с установкой систем автоматического регулирования, внедрение автоматического регулирования в системы отопления и горячего водоснабжения, модернизация систем освещения с установкой энергосберегающих светильников и автоматизированных систем управления освещением, утепление теплового контура зданий, замена старых отопительных котлов в индивидуальных системах отопления организаций на </w:t>
      </w:r>
      <w:proofErr w:type="spellStart"/>
      <w:r w:rsidRPr="00876CF5">
        <w:rPr>
          <w:sz w:val="28"/>
          <w:szCs w:val="28"/>
        </w:rPr>
        <w:t>энергоэффективные</w:t>
      </w:r>
      <w:proofErr w:type="spellEnd"/>
      <w:r w:rsidRPr="00876CF5">
        <w:rPr>
          <w:sz w:val="28"/>
          <w:szCs w:val="28"/>
        </w:rPr>
        <w:t xml:space="preserve"> газовые котлы с коэффициентом</w:t>
      </w:r>
      <w:proofErr w:type="gramEnd"/>
      <w:r w:rsidRPr="00876CF5">
        <w:rPr>
          <w:sz w:val="28"/>
          <w:szCs w:val="28"/>
        </w:rPr>
        <w:t xml:space="preserve"> полезного действия не ниже 95 процентов.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За счет проведения мероприятий по модернизации электрооборудования, газового оборудования, системы тепло-, водоснабжения и канализации реализация основного мероприятия позволит обеспечить снижение затрат на энергоресурсы бюджетов всех уровней.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В рамках данного основного мероприятия предусмотрена реализация </w:t>
      </w:r>
      <w:r w:rsidRPr="00876CF5">
        <w:rPr>
          <w:sz w:val="28"/>
          <w:szCs w:val="28"/>
        </w:rPr>
        <w:lastRenderedPageBreak/>
        <w:t>следующих мероприятий: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4.1 «Утепление ограждающих конструкций строений, сооружений в целях энергосбережения и повышения энергетической эффективности».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4.2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бюджетном секторе в сфере теплоснабжения».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4.3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бюджетном секторе в сфере электроснабжения».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Мероприятие 4.4 «</w:t>
      </w:r>
      <w:proofErr w:type="spellStart"/>
      <w:r w:rsidRPr="00876CF5">
        <w:rPr>
          <w:sz w:val="28"/>
          <w:szCs w:val="28"/>
        </w:rPr>
        <w:t>Энергоэффективность</w:t>
      </w:r>
      <w:proofErr w:type="spellEnd"/>
      <w:r w:rsidRPr="00876CF5">
        <w:rPr>
          <w:sz w:val="28"/>
          <w:szCs w:val="28"/>
        </w:rPr>
        <w:t xml:space="preserve"> в бюджетном секторе в сфере водоснабжения и водоотведения».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Программа реализуется в период с 2023 по 2030 год в </w:t>
      </w:r>
      <w:r w:rsidR="003825F2">
        <w:rPr>
          <w:sz w:val="28"/>
          <w:szCs w:val="28"/>
        </w:rPr>
        <w:t xml:space="preserve">два </w:t>
      </w:r>
      <w:r w:rsidRPr="00876CF5">
        <w:rPr>
          <w:sz w:val="28"/>
          <w:szCs w:val="28"/>
        </w:rPr>
        <w:t>этапа: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1 этап - 2023 - 2025 годы;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2 этап - 2026 - 2030 годы.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pStyle w:val="1"/>
        <w:rPr>
          <w:sz w:val="28"/>
          <w:szCs w:val="28"/>
        </w:rPr>
      </w:pPr>
      <w:bookmarkStart w:id="61" w:name="sub_6004"/>
      <w:r w:rsidRPr="00876CF5">
        <w:rPr>
          <w:sz w:val="28"/>
          <w:szCs w:val="28"/>
        </w:rPr>
        <w:t>Раздел IV. Обоснование объема финансовых ресурсов, необходимых для реализации программы (с расшифровкой по источникам финансирования, по этапам и годам реализации программы)</w:t>
      </w:r>
    </w:p>
    <w:bookmarkEnd w:id="61"/>
    <w:p w:rsidR="00E47F76" w:rsidRPr="00876CF5" w:rsidRDefault="00E47F76" w:rsidP="00E47F76">
      <w:pPr>
        <w:rPr>
          <w:sz w:val="28"/>
          <w:szCs w:val="28"/>
        </w:rPr>
      </w:pPr>
    </w:p>
    <w:p w:rsidR="00E47F76" w:rsidRPr="00876CF5" w:rsidRDefault="00E47F76" w:rsidP="00E47F76">
      <w:pPr>
        <w:rPr>
          <w:sz w:val="28"/>
          <w:szCs w:val="28"/>
        </w:rPr>
      </w:pPr>
      <w:bookmarkStart w:id="62" w:name="sub_4011"/>
      <w:r w:rsidRPr="00876CF5">
        <w:rPr>
          <w:sz w:val="28"/>
          <w:szCs w:val="28"/>
        </w:rPr>
        <w:t>Общий объем финансирования программы в 2023 - 2030 годах составит 73 870,00 рублей, в том числе за счет средств: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федерального бюджета – 0,0  рублей;</w:t>
      </w:r>
    </w:p>
    <w:bookmarkEnd w:id="62"/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местного бюджета – 38 870,00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внебюджетных источников – 35 000,00  рублей.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Прогнозируемый объем финансирования программы на 1 этапе (в 2023 - 2025 годах) составит 73 870.00 рублей, в том числе: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35 000,00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–38 870,00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–0,0 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из них средства: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федерального бюджета –0,0  рублей, в том числе: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- 0,0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местного бюджета – 38 870,00 рублей, в том числе: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0,0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–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внебюджетных источников – 35 000,00 рублей, в том числе: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2023 году – 35 000,00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2024 году - 0,0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 2025 году - 0,0  рублей.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На 2 этапе (в 2026 - 2030 годах) объем финансирования программы составит 0,0  рублей, из них средства: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федерального бюджета –0,0 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lastRenderedPageBreak/>
        <w:t>местного бюджета - 0,0  рублей;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внебюджетных источников - 0,0  рублей.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E47F76" w:rsidRPr="00876CF5" w:rsidRDefault="00E47F76" w:rsidP="00E47F76">
      <w:pPr>
        <w:rPr>
          <w:sz w:val="28"/>
          <w:szCs w:val="28"/>
        </w:rPr>
      </w:pPr>
      <w:r w:rsidRPr="00876CF5">
        <w:rPr>
          <w:sz w:val="28"/>
          <w:szCs w:val="28"/>
        </w:rPr>
        <w:t xml:space="preserve">Ресурсное обеспечение реализации программы за счет всех источников финансирования приведено в </w:t>
      </w:r>
      <w:hyperlink w:anchor="sub_6100" w:history="1">
        <w:r w:rsidRPr="00876CF5">
          <w:rPr>
            <w:sz w:val="28"/>
            <w:szCs w:val="28"/>
          </w:rPr>
          <w:t>приложении</w:t>
        </w:r>
      </w:hyperlink>
      <w:r w:rsidRPr="00876CF5">
        <w:rPr>
          <w:sz w:val="28"/>
          <w:szCs w:val="28"/>
        </w:rPr>
        <w:t xml:space="preserve"> к настоящей программе.</w:t>
      </w:r>
    </w:p>
    <w:p w:rsidR="00E47F76" w:rsidRPr="00876CF5" w:rsidRDefault="00E47F76" w:rsidP="00E47F76">
      <w:pPr>
        <w:rPr>
          <w:sz w:val="28"/>
          <w:szCs w:val="28"/>
        </w:rPr>
      </w:pPr>
    </w:p>
    <w:p w:rsidR="00E47F76" w:rsidRPr="007550D8" w:rsidRDefault="00E47F76" w:rsidP="00E47F76">
      <w:pPr>
        <w:ind w:firstLine="0"/>
        <w:jc w:val="left"/>
        <w:sectPr w:rsidR="00E47F76" w:rsidRPr="007550D8" w:rsidSect="003825F2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E47F76" w:rsidRPr="00876CF5" w:rsidRDefault="00E47F76" w:rsidP="00E47F7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bookmarkStart w:id="63" w:name="sub_6100"/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</w:t>
      </w:r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br/>
        <w:t xml:space="preserve">к </w:t>
      </w:r>
      <w:r w:rsidRPr="00876CF5">
        <w:rPr>
          <w:sz w:val="20"/>
          <w:szCs w:val="20"/>
        </w:rPr>
        <w:t>муниципальной</w:t>
      </w:r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программе энергосбережения</w:t>
      </w:r>
    </w:p>
    <w:p w:rsidR="00E47F76" w:rsidRPr="00876CF5" w:rsidRDefault="00E47F76" w:rsidP="00E47F7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сельского поселения </w:t>
      </w:r>
      <w:proofErr w:type="spellStart"/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Хворостянский</w:t>
      </w:r>
      <w:proofErr w:type="spellEnd"/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сельсовет</w:t>
      </w:r>
    </w:p>
    <w:p w:rsidR="00E47F76" w:rsidRPr="00876CF5" w:rsidRDefault="00E47F76" w:rsidP="00E47F7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Добринского</w:t>
      </w:r>
      <w:proofErr w:type="spellEnd"/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муниципального района</w:t>
      </w:r>
    </w:p>
    <w:p w:rsidR="00E47F76" w:rsidRPr="00876CF5" w:rsidRDefault="00E47F76" w:rsidP="00E47F76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Липецкой области</w:t>
      </w:r>
    </w:p>
    <w:p w:rsidR="00E47F76" w:rsidRPr="007550D8" w:rsidRDefault="00E47F76" w:rsidP="00E47F76">
      <w:pPr>
        <w:jc w:val="right"/>
        <w:rPr>
          <w:rStyle w:val="a3"/>
          <w:bCs/>
        </w:rPr>
      </w:pPr>
      <w:r w:rsidRPr="00876CF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Российской Федерации</w:t>
      </w:r>
      <w:r w:rsidRPr="007550D8">
        <w:rPr>
          <w:rStyle w:val="a3"/>
          <w:rFonts w:ascii="Times New Roman" w:hAnsi="Times New Roman" w:cs="Times New Roman"/>
          <w:bCs/>
        </w:rPr>
        <w:br/>
      </w:r>
      <w:bookmarkEnd w:id="63"/>
    </w:p>
    <w:p w:rsidR="00E47F76" w:rsidRPr="007550D8" w:rsidRDefault="00E47F76" w:rsidP="00E47F76">
      <w:pPr>
        <w:pStyle w:val="1"/>
      </w:pPr>
      <w:r w:rsidRPr="007550D8">
        <w:t>Ресурсное обеспечение</w:t>
      </w:r>
      <w:r w:rsidRPr="007550D8">
        <w:br/>
        <w:t xml:space="preserve">реализации программы энергосбережения </w:t>
      </w:r>
      <w:r w:rsidRPr="007550D8">
        <w:rPr>
          <w:rFonts w:ascii="Times New Roman" w:hAnsi="Times New Roman" w:cs="Times New Roman"/>
          <w:lang w:eastAsia="ar-SA"/>
        </w:rPr>
        <w:t xml:space="preserve">сельского поселения </w:t>
      </w:r>
      <w:proofErr w:type="spellStart"/>
      <w:r w:rsidRPr="007550D8">
        <w:rPr>
          <w:rFonts w:ascii="Times New Roman" w:hAnsi="Times New Roman" w:cs="Times New Roman"/>
          <w:lang w:eastAsia="ar-SA"/>
        </w:rPr>
        <w:t>Хворостянский</w:t>
      </w:r>
      <w:proofErr w:type="spellEnd"/>
      <w:r w:rsidRPr="007550D8">
        <w:rPr>
          <w:rFonts w:ascii="Times New Roman" w:hAnsi="Times New Roman" w:cs="Times New Roman"/>
          <w:lang w:eastAsia="ar-SA"/>
        </w:rPr>
        <w:t xml:space="preserve"> сельсовет </w:t>
      </w:r>
      <w:proofErr w:type="spellStart"/>
      <w:r w:rsidRPr="007550D8">
        <w:rPr>
          <w:rFonts w:ascii="Times New Roman" w:hAnsi="Times New Roman" w:cs="Times New Roman"/>
          <w:lang w:eastAsia="ar-SA"/>
        </w:rPr>
        <w:t>Добринского</w:t>
      </w:r>
      <w:proofErr w:type="spellEnd"/>
      <w:r w:rsidRPr="007550D8">
        <w:rPr>
          <w:rFonts w:ascii="Times New Roman" w:hAnsi="Times New Roman" w:cs="Times New Roman"/>
          <w:lang w:eastAsia="ar-SA"/>
        </w:rPr>
        <w:t xml:space="preserve"> муниципального района Липецкой области Российской Федерации</w:t>
      </w:r>
      <w:r w:rsidRPr="007550D8">
        <w:t>» за счет всех источников финансирования</w:t>
      </w:r>
    </w:p>
    <w:p w:rsidR="00E47F76" w:rsidRPr="007550D8" w:rsidRDefault="00E47F76" w:rsidP="00E47F76"/>
    <w:tbl>
      <w:tblPr>
        <w:tblW w:w="14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6"/>
        <w:gridCol w:w="1810"/>
        <w:gridCol w:w="2828"/>
        <w:gridCol w:w="2343"/>
        <w:gridCol w:w="662"/>
        <w:gridCol w:w="662"/>
        <w:gridCol w:w="772"/>
        <w:gridCol w:w="665"/>
        <w:gridCol w:w="1279"/>
        <w:gridCol w:w="674"/>
        <w:gridCol w:w="651"/>
        <w:gridCol w:w="662"/>
        <w:gridCol w:w="708"/>
      </w:tblGrid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Статус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Наименование программы муниципальной программы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 (основного мероприятия, мероприятия)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Задачи программы муниципальной программы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Код </w:t>
            </w:r>
            <w:hyperlink r:id="rId13" w:history="1">
              <w:r w:rsidRPr="007550D8">
                <w:rPr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Расходы по годам,  рублей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406BB8" w:rsidP="003825F2">
            <w:pPr>
              <w:pStyle w:val="aa"/>
              <w:jc w:val="center"/>
              <w:rPr>
                <w:sz w:val="20"/>
                <w:szCs w:val="20"/>
              </w:rPr>
            </w:pPr>
            <w:hyperlink r:id="rId14" w:history="1">
              <w:r w:rsidR="00E47F76" w:rsidRPr="007550D8">
                <w:rPr>
                  <w:sz w:val="20"/>
                  <w:szCs w:val="20"/>
                </w:rPr>
                <w:t>раздел</w:t>
              </w:r>
            </w:hyperlink>
            <w:r w:rsidR="00E47F76" w:rsidRPr="007550D8">
              <w:rPr>
                <w:sz w:val="20"/>
                <w:szCs w:val="20"/>
              </w:rPr>
              <w:t>, подраздел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406BB8" w:rsidP="003825F2">
            <w:pPr>
              <w:pStyle w:val="aa"/>
              <w:jc w:val="center"/>
              <w:rPr>
                <w:sz w:val="20"/>
                <w:szCs w:val="20"/>
              </w:rPr>
            </w:pPr>
            <w:hyperlink r:id="rId15" w:history="1">
              <w:r w:rsidR="00E47F76" w:rsidRPr="007550D8">
                <w:rPr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группа (подгруппа) </w:t>
            </w:r>
            <w:hyperlink r:id="rId16" w:history="1">
              <w:r w:rsidRPr="007550D8">
                <w:rPr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2023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2024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2026 - 2030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13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Программа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Энергосбережение в сельском поселении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</w:t>
            </w:r>
            <w:r w:rsidRPr="007550D8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jc w:val="both"/>
              <w:rPr>
                <w:sz w:val="14"/>
              </w:rPr>
            </w:pPr>
            <w:r w:rsidRPr="007550D8">
              <w:rPr>
                <w:sz w:val="14"/>
              </w:rPr>
              <w:lastRenderedPageBreak/>
              <w:t>формирование эффективной системы управления энергосбережением и повышение энергетической эффективности в муниципальном образовании при неуклонном повышении качества жизни населения, конкурентоспособности выпускаемой продукции;</w:t>
            </w:r>
          </w:p>
          <w:p w:rsidR="00E47F76" w:rsidRPr="007550D8" w:rsidRDefault="00E47F76" w:rsidP="003825F2">
            <w:pPr>
              <w:pStyle w:val="ad"/>
              <w:jc w:val="both"/>
              <w:rPr>
                <w:sz w:val="14"/>
              </w:rPr>
            </w:pPr>
            <w:r w:rsidRPr="007550D8">
              <w:rPr>
                <w:sz w:val="14"/>
              </w:rPr>
              <w:t xml:space="preserve">поэтапное замещение различного транспорта и оборудования, работающих на традиционных видах топлива, транспортом и оборудованием, </w:t>
            </w:r>
            <w:proofErr w:type="gramStart"/>
            <w:r w:rsidRPr="007550D8">
              <w:rPr>
                <w:sz w:val="14"/>
              </w:rPr>
              <w:t>работающими</w:t>
            </w:r>
            <w:proofErr w:type="gramEnd"/>
            <w:r w:rsidRPr="007550D8">
              <w:rPr>
                <w:sz w:val="14"/>
              </w:rPr>
              <w:t xml:space="preserve"> на сжиженном природном газе и электродвигателях с питанием от независимого источника электроэнергии, для снижения транспортных и финансовых </w:t>
            </w:r>
            <w:r w:rsidRPr="007550D8">
              <w:rPr>
                <w:sz w:val="14"/>
              </w:rPr>
              <w:lastRenderedPageBreak/>
              <w:t>издержек и уменьшения негативного воздействия транспорта на окружающую среду;</w:t>
            </w:r>
          </w:p>
          <w:p w:rsidR="00E47F76" w:rsidRPr="007550D8" w:rsidRDefault="00E47F76" w:rsidP="003825F2">
            <w:pPr>
              <w:pStyle w:val="ad"/>
              <w:jc w:val="both"/>
              <w:rPr>
                <w:sz w:val="14"/>
              </w:rPr>
            </w:pPr>
            <w:r w:rsidRPr="007550D8">
              <w:rPr>
                <w:sz w:val="14"/>
              </w:rPr>
              <w:t>обеспечение устойчивого процесса повышения эффективности энергопотребления в секторах экономики муниципального образования,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E47F76" w:rsidRPr="007550D8" w:rsidRDefault="00E47F76" w:rsidP="003825F2">
            <w:pPr>
              <w:pStyle w:val="aa"/>
              <w:rPr>
                <w:sz w:val="14"/>
                <w:szCs w:val="20"/>
              </w:rPr>
            </w:pPr>
            <w:r w:rsidRPr="007550D8">
              <w:rPr>
                <w:sz w:val="14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4" w:name="sub_6102"/>
            <w:r w:rsidRPr="007550D8">
              <w:rPr>
                <w:sz w:val="20"/>
                <w:szCs w:val="20"/>
              </w:rPr>
              <w:lastRenderedPageBreak/>
              <w:t>Основное мероприятие 1</w:t>
            </w:r>
            <w:bookmarkEnd w:id="64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Формирование среды комплексной информационной поддержки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многоквартирных домов, оснащенных коллективными (</w:t>
            </w:r>
            <w:proofErr w:type="spellStart"/>
            <w:r w:rsidRPr="007550D8">
              <w:rPr>
                <w:sz w:val="20"/>
                <w:szCs w:val="20"/>
              </w:rPr>
              <w:t>общедомовыми</w:t>
            </w:r>
            <w:proofErr w:type="spellEnd"/>
            <w:r w:rsidRPr="007550D8">
              <w:rPr>
                <w:sz w:val="20"/>
                <w:szCs w:val="20"/>
              </w:rPr>
              <w:t>) приборами учета используемых энергетических ресурсов по видам коммунальных ресурсов в общем числе многоквартирных домов</w:t>
            </w:r>
            <w:proofErr w:type="gramStart"/>
            <w:r w:rsidRPr="007550D8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многоквартирных домов, оснащенных коллективными (</w:t>
            </w:r>
            <w:proofErr w:type="spellStart"/>
            <w:r w:rsidRPr="007550D8">
              <w:rPr>
                <w:sz w:val="20"/>
                <w:szCs w:val="20"/>
              </w:rPr>
              <w:t>общедомовыми</w:t>
            </w:r>
            <w:proofErr w:type="spellEnd"/>
            <w:r w:rsidRPr="007550D8">
              <w:rPr>
                <w:sz w:val="20"/>
                <w:szCs w:val="20"/>
              </w:rPr>
              <w:t>) приборами учета электрической энергии, в общем числе многоквартирных домов,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многоквартирных домов, оснащенных коллективными (</w:t>
            </w:r>
            <w:proofErr w:type="spellStart"/>
            <w:r w:rsidRPr="007550D8">
              <w:rPr>
                <w:sz w:val="20"/>
                <w:szCs w:val="20"/>
              </w:rPr>
              <w:t>общедомовыми</w:t>
            </w:r>
            <w:proofErr w:type="spellEnd"/>
            <w:r w:rsidRPr="007550D8">
              <w:rPr>
                <w:sz w:val="20"/>
                <w:szCs w:val="20"/>
              </w:rPr>
              <w:t>) приборами учета тепловой энергии, в общем числе многоквартирных домов,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многоквартирных домов, оснащенных коллективными (</w:t>
            </w:r>
            <w:proofErr w:type="spellStart"/>
            <w:r w:rsidRPr="007550D8">
              <w:rPr>
                <w:sz w:val="20"/>
                <w:szCs w:val="20"/>
              </w:rPr>
              <w:t>общедомовыми</w:t>
            </w:r>
            <w:proofErr w:type="spellEnd"/>
            <w:r w:rsidRPr="007550D8">
              <w:rPr>
                <w:sz w:val="20"/>
                <w:szCs w:val="20"/>
              </w:rPr>
              <w:t>) приборами учета природного газа, в общем числе многоквартирных домов,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62,5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62,5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62,5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37,5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37,5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Доля </w:t>
            </w:r>
            <w:proofErr w:type="gramStart"/>
            <w:r w:rsidRPr="007550D8">
              <w:rPr>
                <w:sz w:val="20"/>
                <w:szCs w:val="20"/>
              </w:rPr>
              <w:t>потребляемых</w:t>
            </w:r>
            <w:proofErr w:type="gramEnd"/>
            <w:r w:rsidRPr="007550D8">
              <w:rPr>
                <w:sz w:val="20"/>
                <w:szCs w:val="20"/>
              </w:rPr>
              <w:t xml:space="preserve">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учреждениями, %: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потребляемого муниципальными учреждениями природного газа, приобретенного по приборам учета, в общем объеме потребляемого природного газа муниципальными учреждениями,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потребляемой муниципальными учреждениями тепловой энергии, приобретенного по приборам учета, в общем объеме потребляемой тепловой энергии муниципальными учреждениями,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потребляемой муниципальными учреждениями электрической энергии, приобретенной по приборам учета, в общем объеме потребляемой электрической энергии муниципальными учреждениями,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потребляемой муниципальными учреждениями горячей воды, приобретенной по приборам учета, в общем объеме потребляемой горячей воды муниципальными учреждениями,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потребляемой муниципальными учреждениями холодной воды, приобретенной по приборам учета, в общем объеме потребляемой холодной воды муниципальными учреждениями,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Мониторинг и разработка нормативных правовых актов муниципального образования в сфере энергосбережения и повышения энергетической эффективности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Организация и проведение обучающих семинаров, конкурсов, конференций по вопросам энергосбережения и повышения энергетической эффективности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5" w:name="sub_6113"/>
            <w:r w:rsidRPr="007550D8">
              <w:rPr>
                <w:sz w:val="20"/>
                <w:szCs w:val="20"/>
              </w:rPr>
              <w:t>Мероприятие 1.3</w:t>
            </w:r>
            <w:bookmarkEnd w:id="65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Информационная поддержка и пропаганда </w:t>
            </w:r>
            <w:r w:rsidRPr="007550D8">
              <w:rPr>
                <w:sz w:val="20"/>
                <w:szCs w:val="20"/>
              </w:rPr>
              <w:lastRenderedPageBreak/>
              <w:t>энергосбережения и повышения энергетической эффективности на территории муниципального образования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</w:t>
            </w:r>
            <w:r w:rsidRPr="007550D8"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Разработка и корректировка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7550D8">
              <w:rPr>
                <w:sz w:val="20"/>
                <w:szCs w:val="20"/>
              </w:rPr>
              <w:t>энергосервисных</w:t>
            </w:r>
            <w:proofErr w:type="spellEnd"/>
            <w:r w:rsidRPr="007550D8">
              <w:rPr>
                <w:sz w:val="20"/>
                <w:szCs w:val="20"/>
              </w:rPr>
              <w:t xml:space="preserve"> договоров (контрактов) муниципальными учреждениями, органами местного самоуправления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233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отдельных отраслях экономики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ConsPlusNonformat"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7550D8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Хворостянский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Добринского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муниципального района Липецкой области Российской Федерации, муниципальные учреждения, организации и предприятия района разной сферы (по согласованию); </w:t>
            </w:r>
          </w:p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субъекты малого и среднего </w:t>
            </w:r>
            <w:r w:rsidRPr="007550D8">
              <w:rPr>
                <w:sz w:val="20"/>
                <w:szCs w:val="20"/>
              </w:rPr>
              <w:lastRenderedPageBreak/>
              <w:t>предпринимательства (по согласованию)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Целевые показатели (индикаторы) программы, увязанные с основным мероприятием 2</w:t>
            </w: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муниципального образования (без учета гидроэлектростанций установленной мощностью свыше 10 МВт), МВт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Энергоемкость промышленного производства для производства трех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тонн </w:t>
            </w:r>
            <w:proofErr w:type="spellStart"/>
            <w:r w:rsidRPr="007550D8">
              <w:rPr>
                <w:sz w:val="20"/>
                <w:szCs w:val="20"/>
              </w:rPr>
              <w:t>усл</w:t>
            </w:r>
            <w:proofErr w:type="spellEnd"/>
            <w:r w:rsidRPr="007550D8">
              <w:rPr>
                <w:sz w:val="20"/>
                <w:szCs w:val="20"/>
              </w:rPr>
              <w:t>. топлива на ед. продукции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ConsPlusNonformat"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7550D8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Хворостянский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Добринского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муниципального района Липецкой области Российской Федерации, муниципальные учреждения, организации и предприятия района разной сферы (по согласованию); </w:t>
            </w:r>
          </w:p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</w:t>
            </w:r>
            <w:proofErr w:type="spellStart"/>
            <w:r w:rsidRPr="007550D8">
              <w:rPr>
                <w:sz w:val="20"/>
                <w:szCs w:val="20"/>
              </w:rPr>
              <w:t>топливноэнергетическом</w:t>
            </w:r>
            <w:proofErr w:type="spellEnd"/>
            <w:r w:rsidRPr="007550D8">
              <w:rPr>
                <w:sz w:val="20"/>
                <w:szCs w:val="20"/>
              </w:rPr>
              <w:t xml:space="preserve"> комплексе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ConsPlusNonformat"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7550D8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Хворостянский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Добринского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муниципального района Липецкой области Российской Федерации, муниципальные учреждения, организации и предприятия района разной сферы (по согласованию); </w:t>
            </w:r>
          </w:p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ConsPlusNonformat"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7550D8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Хворостянский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Добринского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муниципального района Липецкой области Российской Федерации, муниципальные учреждения, организации и предприятия района разной сферы (по согласованию); </w:t>
            </w:r>
          </w:p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транспортном комплексе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ConsPlusNonformat"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7550D8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Хворостянский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7550D8">
              <w:rPr>
                <w:rFonts w:ascii="Times New Roman CYR" w:hAnsi="Times New Roman CYR" w:cs="Times New Roman CYR"/>
              </w:rPr>
              <w:t>Добринского</w:t>
            </w:r>
            <w:proofErr w:type="spellEnd"/>
            <w:r w:rsidRPr="007550D8">
              <w:rPr>
                <w:rFonts w:ascii="Times New Roman CYR" w:hAnsi="Times New Roman CYR" w:cs="Times New Roman CYR"/>
              </w:rPr>
              <w:t xml:space="preserve"> муниципального района Липецкой области Российской Федерации, </w:t>
            </w:r>
            <w:r w:rsidRPr="007550D8">
              <w:rPr>
                <w:rFonts w:ascii="Times New Roman CYR" w:hAnsi="Times New Roman CYR" w:cs="Times New Roman CYR"/>
              </w:rPr>
              <w:lastRenderedPageBreak/>
              <w:t xml:space="preserve">муниципальные учреждения, организации и предприятия района разной сферы (по согласованию); </w:t>
            </w:r>
          </w:p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</w:t>
            </w:r>
            <w:r w:rsidRPr="007550D8">
              <w:rPr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6" w:name="sub_613"/>
            <w:r w:rsidRPr="007550D8">
              <w:rPr>
                <w:sz w:val="20"/>
                <w:szCs w:val="20"/>
              </w:rPr>
              <w:lastRenderedPageBreak/>
              <w:t>Основное мероприятие 3</w:t>
            </w:r>
            <w:bookmarkEnd w:id="66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жилищно-коммунальном хозяйстве и жилищном фонде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Обеспечение устойчивого процесса повышения эффективности энергопотребления в секторах экономики муниципального образования,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Целевые показатели (индикаторы) программы, увязанные с основным мероприятием 3</w:t>
            </w: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тепловой энергии в многоквартирных домах, расположенных на территории муниципального образования, Гкал/</w:t>
            </w:r>
            <w:proofErr w:type="gramStart"/>
            <w:r w:rsidRPr="007550D8">
              <w:rPr>
                <w:sz w:val="20"/>
                <w:szCs w:val="20"/>
              </w:rPr>
              <w:t>м</w:t>
            </w:r>
            <w:proofErr w:type="gramEnd"/>
            <w:r w:rsidRPr="007550D8">
              <w:rPr>
                <w:sz w:val="20"/>
                <w:szCs w:val="20"/>
              </w:rPr>
              <w:t> </w:t>
            </w:r>
            <w:r w:rsidRPr="007550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холодной воды в многоквартирных домах на территории муниципального образования (в расчете на 1 жителя), куб. м/чел.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горячей воды в многоквартирных домах на территории субъекта муниципального образования (в расчете на 1 жителя), куб. м/чел.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электрической энергии в многоквартирных домах, расположенных на территории муниципального образования, кВт·</w:t>
            </w:r>
            <w:proofErr w:type="gramStart"/>
            <w:r w:rsidRPr="007550D8">
              <w:rPr>
                <w:sz w:val="20"/>
                <w:szCs w:val="20"/>
              </w:rPr>
              <w:t>ч</w:t>
            </w:r>
            <w:proofErr w:type="gramEnd"/>
            <w:r w:rsidRPr="007550D8">
              <w:rPr>
                <w:sz w:val="20"/>
                <w:szCs w:val="20"/>
              </w:rPr>
              <w:t>/м </w:t>
            </w:r>
            <w:r w:rsidRPr="007550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10,96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10,96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10,96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многоквартирных домов, имеющих класс энергетической эффективности «B» и выше,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Удельный расход топлива на отпуск электрической энергии тепловыми электростанциями на территории муниципального образования, тонн </w:t>
            </w:r>
            <w:proofErr w:type="spellStart"/>
            <w:r w:rsidRPr="007550D8">
              <w:rPr>
                <w:sz w:val="20"/>
                <w:szCs w:val="20"/>
              </w:rPr>
              <w:t>усл</w:t>
            </w:r>
            <w:proofErr w:type="spellEnd"/>
            <w:r w:rsidRPr="007550D8">
              <w:rPr>
                <w:sz w:val="20"/>
                <w:szCs w:val="20"/>
              </w:rPr>
              <w:t>. топлива/млн. кВт·</w:t>
            </w:r>
            <w:proofErr w:type="gramStart"/>
            <w:r w:rsidRPr="007550D8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Удельный расход топлива на отпущенную тепловую энергию с коллекторов тепловых электростанций на территории муниципального образования, тонн </w:t>
            </w:r>
            <w:proofErr w:type="spellStart"/>
            <w:r w:rsidRPr="007550D8">
              <w:rPr>
                <w:sz w:val="20"/>
                <w:szCs w:val="20"/>
              </w:rPr>
              <w:t>усл</w:t>
            </w:r>
            <w:proofErr w:type="spellEnd"/>
            <w:r w:rsidRPr="007550D8">
              <w:rPr>
                <w:sz w:val="20"/>
                <w:szCs w:val="20"/>
              </w:rPr>
              <w:t>. топлива/тыс. 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Удельный расход топлива на отпущенную с коллекторов котельных в тепловую сеть тепловую энергию на </w:t>
            </w:r>
            <w:r w:rsidRPr="007550D8">
              <w:rPr>
                <w:sz w:val="20"/>
                <w:szCs w:val="20"/>
              </w:rPr>
              <w:lastRenderedPageBreak/>
              <w:t xml:space="preserve">территории муниципального образования, тонн </w:t>
            </w:r>
            <w:proofErr w:type="spellStart"/>
            <w:r w:rsidRPr="007550D8">
              <w:rPr>
                <w:sz w:val="20"/>
                <w:szCs w:val="20"/>
              </w:rPr>
              <w:t>усл</w:t>
            </w:r>
            <w:proofErr w:type="spellEnd"/>
            <w:r w:rsidRPr="007550D8">
              <w:rPr>
                <w:sz w:val="20"/>
                <w:szCs w:val="20"/>
              </w:rPr>
              <w:t>. топлива/тыс. 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Доля </w:t>
            </w:r>
            <w:proofErr w:type="spellStart"/>
            <w:r w:rsidRPr="007550D8">
              <w:rPr>
                <w:sz w:val="20"/>
                <w:szCs w:val="20"/>
              </w:rPr>
              <w:t>энергоэффективных</w:t>
            </w:r>
            <w:proofErr w:type="spellEnd"/>
            <w:r w:rsidRPr="007550D8">
              <w:rPr>
                <w:sz w:val="20"/>
                <w:szCs w:val="2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7" w:name="sub_6131"/>
            <w:r w:rsidRPr="007550D8">
              <w:rPr>
                <w:sz w:val="20"/>
                <w:szCs w:val="20"/>
              </w:rPr>
              <w:t>Мероприятие 3.1</w:t>
            </w:r>
            <w:bookmarkEnd w:id="67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жилищно-коммунальном хозяйстве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3.1.1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8" w:name="sub_61312"/>
            <w:r w:rsidRPr="007550D8">
              <w:rPr>
                <w:sz w:val="20"/>
                <w:szCs w:val="20"/>
              </w:rPr>
              <w:t>Мероприятие 3.1.2</w:t>
            </w:r>
            <w:bookmarkEnd w:id="68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bookmarkStart w:id="69" w:name="sub_613121"/>
            <w:r w:rsidRPr="007550D8">
              <w:rPr>
                <w:sz w:val="20"/>
                <w:szCs w:val="20"/>
              </w:rPr>
              <w:t>Мероприятие 3.1.2.1</w:t>
            </w:r>
            <w:bookmarkEnd w:id="69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Реализация мероприятия по разработке топливно-энергетического баланса </w:t>
            </w:r>
            <w:r w:rsidRPr="007550D8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</w:t>
            </w:r>
            <w:r w:rsidRPr="007550D8">
              <w:rPr>
                <w:sz w:val="20"/>
                <w:szCs w:val="20"/>
              </w:rPr>
              <w:lastRenderedPageBreak/>
              <w:t>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Мероприятие 3.1.2.2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области электроэнергетики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3.1.3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муниципального образования, в том числе за счет внедрения механизмов стимулирования </w:t>
            </w:r>
            <w:r w:rsidRPr="007550D8">
              <w:rPr>
                <w:sz w:val="20"/>
                <w:szCs w:val="20"/>
              </w:rPr>
              <w:lastRenderedPageBreak/>
              <w:t>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</w:t>
            </w:r>
            <w:r w:rsidRPr="007550D8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18,97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18,97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внебюджетные </w:t>
            </w:r>
            <w:r w:rsidRPr="007550D8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Целевые показатели (индикаторы) программы, увязанные с основным мероприятием 4</w:t>
            </w: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Гкал/</w:t>
            </w:r>
            <w:proofErr w:type="gramStart"/>
            <w:r w:rsidRPr="007550D8">
              <w:rPr>
                <w:sz w:val="20"/>
                <w:szCs w:val="20"/>
              </w:rPr>
              <w:t>м</w:t>
            </w:r>
            <w:proofErr w:type="gramEnd"/>
            <w:r w:rsidRPr="007550D8">
              <w:rPr>
                <w:sz w:val="20"/>
                <w:szCs w:val="20"/>
              </w:rPr>
              <w:t> </w:t>
            </w:r>
            <w:r w:rsidRPr="007550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кВт·</w:t>
            </w:r>
            <w:proofErr w:type="gramStart"/>
            <w:r w:rsidRPr="007550D8">
              <w:rPr>
                <w:sz w:val="20"/>
                <w:szCs w:val="20"/>
              </w:rPr>
              <w:t>ч</w:t>
            </w:r>
            <w:proofErr w:type="gramEnd"/>
            <w:r w:rsidRPr="007550D8">
              <w:rPr>
                <w:sz w:val="20"/>
                <w:szCs w:val="20"/>
              </w:rPr>
              <w:t>/м </w:t>
            </w:r>
            <w:r w:rsidRPr="007550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самоуправления, Гкал/м</w:t>
            </w:r>
            <w:proofErr w:type="gramStart"/>
            <w:r w:rsidRPr="007550D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самоуправления, кВт·</w:t>
            </w:r>
            <w:proofErr w:type="gramStart"/>
            <w:r w:rsidRPr="007550D8">
              <w:rPr>
                <w:sz w:val="20"/>
                <w:szCs w:val="20"/>
              </w:rPr>
              <w:t>ч</w:t>
            </w:r>
            <w:proofErr w:type="gramEnd"/>
            <w:r w:rsidRPr="007550D8">
              <w:rPr>
                <w:sz w:val="20"/>
                <w:szCs w:val="20"/>
              </w:rPr>
              <w:t>/м 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-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gramStart"/>
            <w:r w:rsidRPr="007550D8">
              <w:rPr>
                <w:sz w:val="20"/>
                <w:szCs w:val="20"/>
              </w:rPr>
              <w:t>Объем потребления дизельного и иного топлива, мазута, природного газа, тепловой энергии, электрической энергии, угля и воды муниципальными учреждениями, куб. м, Гкал, кВт·ч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куб. 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4640,0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4640,0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4640,0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4640,0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кВт*</w:t>
            </w:r>
            <w:proofErr w:type="gramStart"/>
            <w:r w:rsidRPr="007550D8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5296,39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5185,17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5076,28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F76" w:rsidRPr="007550D8" w:rsidRDefault="00E47F76" w:rsidP="003825F2">
            <w:pPr>
              <w:pStyle w:val="aa"/>
              <w:ind w:right="-109" w:hanging="107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4969,68</w:t>
            </w:r>
          </w:p>
        </w:tc>
      </w:tr>
      <w:tr w:rsidR="00E47F76" w:rsidRPr="007550D8" w:rsidTr="00E47F76">
        <w:trPr>
          <w:trHeight w:val="228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Утепление ограждающих конструкций строений, сооружений в целях энергосбережения и повышения энергетической эффективности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228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бюджетном секторе в сфере теплоснабжения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228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</w:t>
            </w:r>
            <w:r w:rsidRPr="007550D8">
              <w:rPr>
                <w:sz w:val="20"/>
                <w:szCs w:val="20"/>
              </w:rPr>
              <w:lastRenderedPageBreak/>
              <w:t>ятие 4.3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Энергоэффективн</w:t>
            </w:r>
            <w:r w:rsidRPr="007550D8">
              <w:rPr>
                <w:sz w:val="20"/>
                <w:szCs w:val="20"/>
              </w:rPr>
              <w:lastRenderedPageBreak/>
              <w:t>ость</w:t>
            </w:r>
            <w:proofErr w:type="spellEnd"/>
            <w:r w:rsidRPr="007550D8">
              <w:rPr>
                <w:sz w:val="20"/>
                <w:szCs w:val="20"/>
              </w:rPr>
              <w:t xml:space="preserve"> в бюджетном секторе в сфере электроснабжения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</w:t>
            </w:r>
            <w:r w:rsidRPr="007550D8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3887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228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Энергоэффективность</w:t>
            </w:r>
            <w:proofErr w:type="spellEnd"/>
            <w:r w:rsidRPr="007550D8">
              <w:rPr>
                <w:sz w:val="20"/>
                <w:szCs w:val="20"/>
              </w:rPr>
              <w:t xml:space="preserve"> в бюджетном секторе в сфере водоснабжения и водоотведения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550D8">
              <w:rPr>
                <w:sz w:val="20"/>
                <w:szCs w:val="20"/>
              </w:rPr>
              <w:t>Хворостянский</w:t>
            </w:r>
            <w:proofErr w:type="spellEnd"/>
            <w:r w:rsidRPr="007550D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7550D8">
              <w:rPr>
                <w:sz w:val="20"/>
                <w:szCs w:val="20"/>
              </w:rPr>
              <w:t>Добринского</w:t>
            </w:r>
            <w:proofErr w:type="spellEnd"/>
            <w:r w:rsidRPr="007550D8">
              <w:rPr>
                <w:sz w:val="20"/>
                <w:szCs w:val="20"/>
              </w:rPr>
              <w:t xml:space="preserve"> муниципального района Липецкой области Российской Федерации, муниципальные учреждения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7550D8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  <w:tr w:rsidR="00E47F76" w:rsidRPr="003E4F04" w:rsidTr="00E47F76">
        <w:trPr>
          <w:trHeight w:val="146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550D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d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6" w:rsidRPr="007550D8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76" w:rsidRPr="00A77281" w:rsidRDefault="00E47F76" w:rsidP="003825F2">
            <w:pPr>
              <w:pStyle w:val="aa"/>
              <w:jc w:val="center"/>
              <w:rPr>
                <w:sz w:val="20"/>
                <w:szCs w:val="20"/>
              </w:rPr>
            </w:pPr>
            <w:r w:rsidRPr="007550D8">
              <w:rPr>
                <w:sz w:val="20"/>
                <w:szCs w:val="20"/>
              </w:rPr>
              <w:t>0,0</w:t>
            </w:r>
          </w:p>
        </w:tc>
      </w:tr>
    </w:tbl>
    <w:p w:rsidR="00E47F76" w:rsidRPr="003E4F04" w:rsidRDefault="00E47F76" w:rsidP="00E47F76">
      <w:pPr>
        <w:ind w:firstLine="0"/>
      </w:pPr>
    </w:p>
    <w:p w:rsidR="00DF7C64" w:rsidRDefault="00DF7C64"/>
    <w:sectPr w:rsidR="00DF7C64" w:rsidSect="003825F2">
      <w:headerReference w:type="default" r:id="rId17"/>
      <w:footerReference w:type="default" r:id="rId18"/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B3" w:rsidRDefault="00B222B3" w:rsidP="00406BB8">
      <w:r>
        <w:separator/>
      </w:r>
    </w:p>
  </w:endnote>
  <w:endnote w:type="continuationSeparator" w:id="0">
    <w:p w:rsidR="00B222B3" w:rsidRDefault="00B222B3" w:rsidP="0040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F2" w:rsidRDefault="003825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B3" w:rsidRDefault="00B222B3" w:rsidP="00406BB8">
      <w:r>
        <w:separator/>
      </w:r>
    </w:p>
  </w:footnote>
  <w:footnote w:type="continuationSeparator" w:id="0">
    <w:p w:rsidR="00B222B3" w:rsidRDefault="00B222B3" w:rsidP="0040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F2" w:rsidRPr="00EF4876" w:rsidRDefault="003825F2" w:rsidP="003825F2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27B"/>
    <w:multiLevelType w:val="hybridMultilevel"/>
    <w:tmpl w:val="94CE0EF2"/>
    <w:lvl w:ilvl="0" w:tplc="960E3954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76"/>
    <w:rsid w:val="002318A9"/>
    <w:rsid w:val="003825F2"/>
    <w:rsid w:val="00406BB8"/>
    <w:rsid w:val="006B02B9"/>
    <w:rsid w:val="00B222B3"/>
    <w:rsid w:val="00C174AA"/>
    <w:rsid w:val="00C36D75"/>
    <w:rsid w:val="00DF7C64"/>
    <w:rsid w:val="00E47F76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F7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F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7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47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F76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47F7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47F7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47F7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47F7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47F7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47F76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47F76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47F7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47F76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47F76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E47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7F7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47F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47F7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E47F76"/>
    <w:pPr>
      <w:shd w:val="clear" w:color="auto" w:fill="FFFFFF"/>
      <w:spacing w:before="3660" w:line="394" w:lineRule="exact"/>
      <w:ind w:firstLine="0"/>
      <w:jc w:val="center"/>
    </w:pPr>
    <w:rPr>
      <w:rFonts w:ascii="Times New Roman" w:hAnsi="Times New Roman" w:cs="Times New Roman"/>
      <w:b/>
      <w:bCs/>
      <w:spacing w:val="-3"/>
      <w:sz w:val="32"/>
      <w:szCs w:val="32"/>
    </w:rPr>
  </w:style>
  <w:style w:type="paragraph" w:customStyle="1" w:styleId="31">
    <w:name w:val="Основной текст (3)"/>
    <w:basedOn w:val="a"/>
    <w:uiPriority w:val="99"/>
    <w:rsid w:val="00E47F76"/>
    <w:pPr>
      <w:shd w:val="clear" w:color="auto" w:fill="FFFFFF"/>
      <w:autoSpaceDE/>
      <w:autoSpaceDN/>
      <w:adjustRightInd/>
      <w:spacing w:line="293" w:lineRule="exact"/>
      <w:ind w:firstLine="0"/>
      <w:jc w:val="center"/>
    </w:pPr>
    <w:rPr>
      <w:rFonts w:ascii="Times New Roman" w:hAnsi="Times New Roman" w:cs="Times New Roman"/>
      <w:b/>
      <w:bCs/>
      <w:spacing w:val="1"/>
      <w:sz w:val="23"/>
      <w:szCs w:val="23"/>
      <w:lang w:eastAsia="en-US"/>
    </w:rPr>
  </w:style>
  <w:style w:type="paragraph" w:customStyle="1" w:styleId="ConsPlusNonformat">
    <w:name w:val="ConsPlusNonformat"/>
    <w:rsid w:val="00E47F7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47F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F7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7F76"/>
    <w:pPr>
      <w:widowControl/>
      <w:suppressAutoHyphens/>
      <w:autoSpaceDE/>
      <w:autoSpaceDN/>
      <w:adjustRightInd/>
      <w:spacing w:after="120" w:line="480" w:lineRule="auto"/>
      <w:ind w:left="283" w:firstLine="0"/>
      <w:jc w:val="center"/>
    </w:pPr>
    <w:rPr>
      <w:rFonts w:ascii="Times New Roman" w:hAnsi="Times New Roman" w:cs="Times New Roman"/>
      <w:kern w:val="1"/>
      <w:lang w:eastAsia="ar-SA"/>
    </w:rPr>
  </w:style>
  <w:style w:type="table" w:styleId="af3">
    <w:name w:val="Table Grid"/>
    <w:basedOn w:val="a1"/>
    <w:uiPriority w:val="59"/>
    <w:rsid w:val="00E47F7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E47F76"/>
    <w:rPr>
      <w:rFonts w:cs="Times New Roman"/>
      <w:color w:val="0000FF"/>
      <w:u w:val="single"/>
    </w:rPr>
  </w:style>
  <w:style w:type="character" w:customStyle="1" w:styleId="searchresult">
    <w:name w:val="search_result"/>
    <w:basedOn w:val="a0"/>
    <w:rsid w:val="00E47F76"/>
    <w:rPr>
      <w:rFonts w:cs="Times New Roman"/>
    </w:rPr>
  </w:style>
  <w:style w:type="paragraph" w:styleId="af5">
    <w:name w:val="List Paragraph"/>
    <w:basedOn w:val="a"/>
    <w:uiPriority w:val="34"/>
    <w:qFormat/>
    <w:rsid w:val="00E47F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E47F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Strong"/>
    <w:basedOn w:val="a0"/>
    <w:uiPriority w:val="22"/>
    <w:qFormat/>
    <w:rsid w:val="00E47F76"/>
    <w:rPr>
      <w:rFonts w:cs="Times New Roman"/>
      <w:b/>
      <w:bCs/>
    </w:rPr>
  </w:style>
  <w:style w:type="paragraph" w:customStyle="1" w:styleId="Default">
    <w:name w:val="Default"/>
    <w:rsid w:val="00E47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7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1109/0" TargetMode="Externa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71109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4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3428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http://internet.garant.ru/document/redirect/12171109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342861/0" TargetMode="External"/><Relationship Id="rId14" Type="http://schemas.openxmlformats.org/officeDocument/2006/relationships/hyperlink" Target="http://internet.garant.ru/document/redirect/72275618/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10485</Words>
  <Characters>59770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2023-08-09T07:38:00Z</cp:lastPrinted>
  <dcterms:created xsi:type="dcterms:W3CDTF">2023-08-09T07:38:00Z</dcterms:created>
  <dcterms:modified xsi:type="dcterms:W3CDTF">2023-08-09T11:09:00Z</dcterms:modified>
</cp:coreProperties>
</file>