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4" w:rsidRDefault="00497764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497764" w:rsidRPr="004C1505" w:rsidRDefault="00497764" w:rsidP="004977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5pt;margin-top:-20.3pt;width:53.1pt;height:63.05pt;z-index:251660288">
            <v:imagedata r:id="rId8" o:title=""/>
          </v:shape>
          <o:OLEObject Type="Embed" ProgID="Photoshop.Image.6" ShapeID="_x0000_s1029" DrawAspect="Content" ObjectID="_1539425431" r:id="rId9">
            <o:FieldCodes>\s</o:FieldCodes>
          </o:OLEObject>
        </w:pict>
      </w:r>
    </w:p>
    <w:p w:rsidR="00497764" w:rsidRDefault="00497764" w:rsidP="00497764">
      <w:pPr>
        <w:jc w:val="center"/>
        <w:rPr>
          <w:b/>
          <w:sz w:val="32"/>
          <w:szCs w:val="32"/>
        </w:rPr>
      </w:pPr>
    </w:p>
    <w:p w:rsidR="00497764" w:rsidRPr="00D43223" w:rsidRDefault="00497764" w:rsidP="004977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3223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32"/>
          <w:szCs w:val="32"/>
        </w:rPr>
        <w:t>Хворостянский</w:t>
      </w:r>
      <w:r w:rsidRPr="00D43223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497764" w:rsidRPr="00D43223" w:rsidRDefault="00497764" w:rsidP="00497764">
      <w:pPr>
        <w:tabs>
          <w:tab w:val="left" w:pos="2660"/>
          <w:tab w:val="left" w:pos="3350"/>
          <w:tab w:val="left" w:pos="38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3223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497764" w:rsidRPr="00D43223" w:rsidRDefault="00497764" w:rsidP="004977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3223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497764" w:rsidRPr="00D43223" w:rsidRDefault="00497764" w:rsidP="00497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764" w:rsidRPr="00D43223" w:rsidRDefault="00497764" w:rsidP="004977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43223">
        <w:rPr>
          <w:rFonts w:ascii="Times New Roman" w:hAnsi="Times New Roman"/>
          <w:b/>
          <w:sz w:val="36"/>
          <w:szCs w:val="36"/>
        </w:rPr>
        <w:t>ПОСТАНОВЛЕНИЕ</w:t>
      </w:r>
    </w:p>
    <w:p w:rsidR="00497764" w:rsidRPr="00D43223" w:rsidRDefault="00497764" w:rsidP="00497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764" w:rsidRPr="00D43223" w:rsidRDefault="00497764" w:rsidP="004977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22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D43223">
        <w:rPr>
          <w:rFonts w:ascii="Times New Roman" w:hAnsi="Times New Roman"/>
          <w:b/>
          <w:sz w:val="28"/>
          <w:szCs w:val="28"/>
        </w:rPr>
        <w:t xml:space="preserve">.10.2016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ж.д.ст.Хворостянка                                       </w:t>
      </w:r>
      <w:r w:rsidRPr="00D43223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497764" w:rsidRDefault="00497764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497764" w:rsidRDefault="00497764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Default="00C36E1C" w:rsidP="0049776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49776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4977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4977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4977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4977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4977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4977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497764" w:rsidP="0049776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4977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497764" w:rsidP="004977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AF083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497764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AF083D" w:rsidRPr="00497764" w:rsidRDefault="00497764" w:rsidP="0049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AF083D" w:rsidRPr="0049776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49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6A48FB" w:rsidRDefault="006A48FB" w:rsidP="00C36E1C">
      <w:pPr>
        <w:pStyle w:val="Default"/>
        <w:jc w:val="right"/>
        <w:rPr>
          <w:sz w:val="22"/>
        </w:rPr>
      </w:pPr>
    </w:p>
    <w:p w:rsidR="006A48FB" w:rsidRDefault="006A48FB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7A4623" w:rsidP="00C36E1C">
      <w:pPr>
        <w:pStyle w:val="Default"/>
        <w:jc w:val="right"/>
        <w:rPr>
          <w:sz w:val="20"/>
        </w:rPr>
      </w:pPr>
      <w:r>
        <w:rPr>
          <w:sz w:val="22"/>
        </w:rPr>
        <w:t>о</w:t>
      </w:r>
      <w:r w:rsidR="00AF083D" w:rsidRPr="00691B27">
        <w:rPr>
          <w:sz w:val="22"/>
        </w:rPr>
        <w:t>т</w:t>
      </w:r>
      <w:r>
        <w:rPr>
          <w:sz w:val="22"/>
        </w:rPr>
        <w:t xml:space="preserve"> </w:t>
      </w:r>
      <w:r w:rsidR="006A48FB">
        <w:rPr>
          <w:sz w:val="22"/>
        </w:rPr>
        <w:t>29</w:t>
      </w:r>
      <w:r>
        <w:rPr>
          <w:sz w:val="22"/>
        </w:rPr>
        <w:t>.</w:t>
      </w:r>
      <w:r w:rsidR="00786D58">
        <w:rPr>
          <w:sz w:val="22"/>
        </w:rPr>
        <w:t>0</w:t>
      </w:r>
      <w:r w:rsidR="006A48FB">
        <w:rPr>
          <w:sz w:val="22"/>
        </w:rPr>
        <w:t>7</w:t>
      </w:r>
      <w:r>
        <w:rPr>
          <w:sz w:val="22"/>
        </w:rPr>
        <w:t>.</w:t>
      </w:r>
      <w:r w:rsidR="00786D58">
        <w:rPr>
          <w:sz w:val="22"/>
        </w:rPr>
        <w:t>2016</w:t>
      </w:r>
      <w:r w:rsidR="00AF083D"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="00AF083D" w:rsidRPr="00691B27">
        <w:rPr>
          <w:sz w:val="22"/>
        </w:rPr>
        <w:t>№</w:t>
      </w:r>
      <w:r w:rsidR="004334BE">
        <w:rPr>
          <w:sz w:val="22"/>
        </w:rPr>
        <w:t xml:space="preserve"> </w:t>
      </w:r>
      <w:r w:rsidR="006A48FB">
        <w:rPr>
          <w:sz w:val="22"/>
        </w:rPr>
        <w:t>78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="00AF083D"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32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B95F90">
        <w:rPr>
          <w:rFonts w:ascii="Times New Roman" w:hAnsi="Times New Roman" w:cs="Times New Roman"/>
          <w:b w:val="0"/>
          <w:sz w:val="24"/>
          <w:szCs w:val="24"/>
        </w:rPr>
        <w:t>,№ 38 от 05.05.2016г.</w:t>
      </w:r>
      <w:r w:rsidR="007016F5">
        <w:rPr>
          <w:rFonts w:ascii="Times New Roman" w:hAnsi="Times New Roman" w:cs="Times New Roman"/>
          <w:b w:val="0"/>
          <w:sz w:val="24"/>
          <w:szCs w:val="24"/>
        </w:rPr>
        <w:t>, № 53 от 02.06.2016г.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политики  на территории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. Доля населения, систематически занимающегося физической культурой и </w:t>
            </w:r>
            <w:r w:rsidRPr="00663F79">
              <w:rPr>
                <w:rFonts w:ascii="Times New Roman" w:hAnsi="Times New Roman"/>
                <w:sz w:val="28"/>
                <w:szCs w:val="28"/>
              </w:rPr>
              <w:lastRenderedPageBreak/>
              <w:t>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7016F5" w:rsidRPr="00663F79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6F5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  <w:r w:rsidR="00A80D37">
              <w:rPr>
                <w:rFonts w:ascii="Times New Roman" w:hAnsi="Times New Roman"/>
                <w:color w:val="FF0000"/>
                <w:sz w:val="28"/>
                <w:szCs w:val="28"/>
              </w:rPr>
              <w:t> 719,8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0B4C7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A80D37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7,4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</w:t>
            </w:r>
            <w:r w:rsidR="00A80D37">
              <w:rPr>
                <w:rFonts w:ascii="Times New Roman" w:hAnsi="Times New Roman"/>
                <w:sz w:val="28"/>
                <w:szCs w:val="28"/>
              </w:rPr>
              <w:t> 883,4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</w:t>
            </w:r>
            <w:r w:rsidR="00333E12">
              <w:rPr>
                <w:rFonts w:ascii="Times New Roman" w:hAnsi="Times New Roman"/>
                <w:sz w:val="28"/>
                <w:szCs w:val="28"/>
              </w:rPr>
              <w:t>91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BB01D7">
        <w:rPr>
          <w:rFonts w:ascii="Times New Roman" w:hAnsi="Times New Roman"/>
          <w:color w:val="FF0000"/>
          <w:sz w:val="28"/>
          <w:szCs w:val="28"/>
        </w:rPr>
        <w:t>2</w:t>
      </w:r>
      <w:r w:rsidR="00B95F90">
        <w:rPr>
          <w:rFonts w:ascii="Times New Roman" w:hAnsi="Times New Roman"/>
          <w:color w:val="FF0000"/>
          <w:sz w:val="28"/>
          <w:szCs w:val="28"/>
        </w:rPr>
        <w:t>6</w:t>
      </w:r>
      <w:r w:rsidR="00A80D37">
        <w:rPr>
          <w:rFonts w:ascii="Times New Roman" w:hAnsi="Times New Roman"/>
          <w:color w:val="FF0000"/>
          <w:sz w:val="28"/>
          <w:szCs w:val="28"/>
        </w:rPr>
        <w:t> </w:t>
      </w:r>
      <w:r w:rsidR="0083101A">
        <w:rPr>
          <w:rFonts w:ascii="Times New Roman" w:hAnsi="Times New Roman"/>
          <w:color w:val="FF0000"/>
          <w:sz w:val="28"/>
          <w:szCs w:val="28"/>
        </w:rPr>
        <w:t>7</w:t>
      </w:r>
      <w:r w:rsidR="00A80D37">
        <w:rPr>
          <w:rFonts w:ascii="Times New Roman" w:hAnsi="Times New Roman"/>
          <w:color w:val="FF0000"/>
          <w:sz w:val="28"/>
          <w:szCs w:val="28"/>
        </w:rPr>
        <w:t>33,7</w:t>
      </w:r>
      <w:r w:rsidR="008310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01A" w:rsidRPr="0083101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>Обеспечение</w:t>
      </w:r>
      <w:r w:rsidR="0083101A">
        <w:rPr>
          <w:rFonts w:ascii="Times New Roman" w:hAnsi="Times New Roman"/>
          <w:sz w:val="28"/>
          <w:szCs w:val="28"/>
        </w:rPr>
        <w:t xml:space="preserve"> </w:t>
      </w:r>
      <w:r w:rsidRPr="00A83AF1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F21">
        <w:rPr>
          <w:rFonts w:ascii="Times New Roman" w:hAnsi="Times New Roman"/>
          <w:color w:val="FF0000"/>
          <w:sz w:val="28"/>
          <w:szCs w:val="28"/>
        </w:rPr>
        <w:t>12 177,5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="00831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B0A" w:rsidRPr="00625B0A">
        <w:rPr>
          <w:rFonts w:ascii="Times New Roman" w:hAnsi="Times New Roman"/>
          <w:color w:val="FF0000"/>
          <w:sz w:val="28"/>
          <w:szCs w:val="28"/>
        </w:rPr>
        <w:t>12</w:t>
      </w:r>
      <w:r w:rsidR="00946F21">
        <w:rPr>
          <w:rFonts w:ascii="Times New Roman" w:hAnsi="Times New Roman"/>
          <w:color w:val="FF0000"/>
          <w:sz w:val="28"/>
          <w:szCs w:val="28"/>
        </w:rPr>
        <w:t> 897,2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21B7C" w:rsidRPr="00625B0A">
        <w:rPr>
          <w:rFonts w:ascii="Times New Roman" w:hAnsi="Times New Roman"/>
          <w:color w:val="FF0000"/>
          <w:sz w:val="28"/>
          <w:szCs w:val="28"/>
        </w:rPr>
        <w:t>1,6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4328">
        <w:rPr>
          <w:rFonts w:ascii="Times New Roman" w:hAnsi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924" w:rsidRPr="00625B0A">
        <w:rPr>
          <w:rFonts w:ascii="Times New Roman" w:hAnsi="Times New Roman"/>
          <w:color w:val="FF0000"/>
          <w:sz w:val="28"/>
          <w:szCs w:val="28"/>
        </w:rPr>
        <w:t>1</w:t>
      </w:r>
      <w:r w:rsidR="00A80D37">
        <w:rPr>
          <w:rFonts w:ascii="Times New Roman" w:hAnsi="Times New Roman"/>
          <w:color w:val="FF0000"/>
          <w:sz w:val="28"/>
          <w:szCs w:val="28"/>
        </w:rPr>
        <w:t> </w:t>
      </w:r>
      <w:r w:rsidR="0083101A">
        <w:rPr>
          <w:rFonts w:ascii="Times New Roman" w:hAnsi="Times New Roman"/>
          <w:color w:val="FF0000"/>
          <w:sz w:val="28"/>
          <w:szCs w:val="28"/>
        </w:rPr>
        <w:t>6</w:t>
      </w:r>
      <w:r w:rsidR="00A80D37">
        <w:rPr>
          <w:rFonts w:ascii="Times New Roman" w:hAnsi="Times New Roman"/>
          <w:color w:val="FF0000"/>
          <w:sz w:val="28"/>
          <w:szCs w:val="28"/>
        </w:rPr>
        <w:t>57,4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291865" w:rsidRPr="00691B27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291865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291865" w:rsidRPr="00B32135" w:rsidRDefault="00291865" w:rsidP="00291865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r w:rsidRPr="00B32135">
        <w:rPr>
          <w:b/>
          <w:sz w:val="28"/>
          <w:szCs w:val="28"/>
          <w:lang w:eastAsia="ru-RU"/>
        </w:rPr>
        <w:t>П А С П О Р Т</w:t>
      </w:r>
    </w:p>
    <w:p w:rsidR="00291865" w:rsidRPr="00B32135" w:rsidRDefault="00291865" w:rsidP="00291865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291865" w:rsidRPr="00B32135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B32135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B32135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291865" w:rsidRPr="00691B27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691B27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291865" w:rsidRPr="00F53746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291865" w:rsidRPr="00691B27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291865" w:rsidRPr="00691B27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691B27" w:rsidRDefault="00291865" w:rsidP="00D4575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6 921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4 429,1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 –  543,4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407,3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158,8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2018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29,8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416,3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936,3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291865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691B27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Ожидаемые результаты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843" w:type="dxa"/>
          </w:tcPr>
          <w:p w:rsidR="00291865" w:rsidRPr="00691B27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Реализация подпрограммы к 2020 году позволит: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увеличить протяженность построенных, капитально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отремонтированных и прошедших  текущий ремонт дорог до 16,5 км.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</w:tc>
      </w:tr>
    </w:tbl>
    <w:p w:rsidR="00291865" w:rsidRDefault="00291865" w:rsidP="002918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Default="00291865" w:rsidP="00291865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291865" w:rsidRPr="0017390C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12 177,5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4 429,1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3 907,2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2 300,0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158,8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29,8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416,3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936,3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291865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91865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A126F4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B1781A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800"/>
        <w:gridCol w:w="1071"/>
        <w:gridCol w:w="916"/>
        <w:gridCol w:w="851"/>
        <w:gridCol w:w="851"/>
        <w:gridCol w:w="854"/>
        <w:gridCol w:w="851"/>
        <w:gridCol w:w="847"/>
        <w:gridCol w:w="849"/>
      </w:tblGrid>
      <w:tr w:rsidR="00291865" w:rsidRPr="00A126F4" w:rsidTr="00D4575C">
        <w:tc>
          <w:tcPr>
            <w:tcW w:w="272" w:type="pct"/>
            <w:vMerge w:val="restar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A126F4" w:rsidTr="00D4575C">
        <w:tc>
          <w:tcPr>
            <w:tcW w:w="272" w:type="pct"/>
            <w:vMerge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A126F4" w:rsidTr="00D4575C"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Содержание автомобильных дорог</w:t>
            </w:r>
            <w:r>
              <w:rPr>
                <w:sz w:val="24"/>
                <w:szCs w:val="24"/>
              </w:rPr>
              <w:t xml:space="preserve"> местного значения</w:t>
            </w:r>
            <w:r w:rsidRPr="004F437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4454,4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1 892,7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1865" w:rsidRPr="00A126F4" w:rsidTr="00D4575C"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Текущие расходы на устройство, ремонт, </w:t>
            </w:r>
            <w:r w:rsidRPr="004F4378">
              <w:rPr>
                <w:sz w:val="24"/>
                <w:szCs w:val="24"/>
              </w:rPr>
              <w:lastRenderedPageBreak/>
              <w:t xml:space="preserve">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494,4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A126F4" w:rsidTr="00D4575C"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4F4378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A126F4" w:rsidTr="00D4575C"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2 005,7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408" w:type="pct"/>
          </w:tcPr>
          <w:p w:rsidR="00291865" w:rsidRDefault="00291865" w:rsidP="00D4575C">
            <w:r>
              <w:t>158,8</w:t>
            </w:r>
          </w:p>
        </w:tc>
        <w:tc>
          <w:tcPr>
            <w:tcW w:w="407" w:type="pct"/>
          </w:tcPr>
          <w:p w:rsidR="00291865" w:rsidRDefault="00291865" w:rsidP="00D4575C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291865" w:rsidRDefault="00291865" w:rsidP="00D4575C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291865" w:rsidRDefault="00291865" w:rsidP="00D4575C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291865" w:rsidRPr="00A126F4" w:rsidTr="00D4575C">
        <w:trPr>
          <w:trHeight w:val="859"/>
        </w:trPr>
        <w:tc>
          <w:tcPr>
            <w:tcW w:w="272" w:type="pct"/>
          </w:tcPr>
          <w:p w:rsidR="00291865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Default="00291865" w:rsidP="00D4575C">
            <w:r>
              <w:t>0,00</w:t>
            </w:r>
          </w:p>
        </w:tc>
        <w:tc>
          <w:tcPr>
            <w:tcW w:w="408" w:type="pct"/>
          </w:tcPr>
          <w:p w:rsidR="00291865" w:rsidRDefault="00291865" w:rsidP="00D4575C">
            <w:r>
              <w:t>0,00</w:t>
            </w:r>
          </w:p>
        </w:tc>
        <w:tc>
          <w:tcPr>
            <w:tcW w:w="407" w:type="pct"/>
          </w:tcPr>
          <w:p w:rsidR="00291865" w:rsidRDefault="00291865" w:rsidP="00D4575C">
            <w:r>
              <w:t>0,00</w:t>
            </w:r>
          </w:p>
        </w:tc>
        <w:tc>
          <w:tcPr>
            <w:tcW w:w="405" w:type="pct"/>
          </w:tcPr>
          <w:p w:rsidR="00291865" w:rsidRDefault="00291865" w:rsidP="00D4575C">
            <w:r>
              <w:t>0,00</w:t>
            </w:r>
          </w:p>
        </w:tc>
        <w:tc>
          <w:tcPr>
            <w:tcW w:w="406" w:type="pct"/>
          </w:tcPr>
          <w:p w:rsidR="00291865" w:rsidRDefault="00291865" w:rsidP="00D4575C">
            <w:r>
              <w:t>0,00</w:t>
            </w:r>
          </w:p>
        </w:tc>
      </w:tr>
      <w:tr w:rsidR="00291865" w:rsidRPr="00A126F4" w:rsidTr="00D4575C">
        <w:trPr>
          <w:trHeight w:val="417"/>
        </w:trPr>
        <w:tc>
          <w:tcPr>
            <w:tcW w:w="272" w:type="pct"/>
          </w:tcPr>
          <w:p w:rsidR="00291865" w:rsidRPr="00F67A3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354A7D">
              <w:rPr>
                <w:sz w:val="20"/>
                <w:szCs w:val="24"/>
              </w:rPr>
              <w:t>-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-вывоз несанкционированных свалок</w:t>
            </w: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приобретение детской площадки</w:t>
            </w: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ремонт памятника ВОВ  и ограждения</w:t>
            </w:r>
          </w:p>
          <w:p w:rsidR="00291865" w:rsidRPr="003416C2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</w:tcPr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703,2</w:t>
            </w:r>
          </w:p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354A7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3416C2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552907" w:rsidRDefault="00291865" w:rsidP="00D457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A126F4" w:rsidTr="00D4575C">
        <w:trPr>
          <w:trHeight w:val="816"/>
        </w:trPr>
        <w:tc>
          <w:tcPr>
            <w:tcW w:w="272" w:type="pct"/>
          </w:tcPr>
          <w:p w:rsidR="00291865" w:rsidRPr="00F67A3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2 868,9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A126F4" w:rsidTr="00D4575C">
        <w:trPr>
          <w:trHeight w:val="834"/>
        </w:trPr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291865" w:rsidRPr="004F4378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D457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177,5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4F4378" w:rsidRDefault="00291865" w:rsidP="002918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936,3</w:t>
            </w:r>
          </w:p>
        </w:tc>
      </w:tr>
    </w:tbl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24E48" w:rsidRPr="003A52FF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2 следующие изменения :</w:t>
      </w:r>
    </w:p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lastRenderedPageBreak/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724E48" w:rsidRPr="005E0996" w:rsidRDefault="00724E48" w:rsidP="00724E4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724E48" w:rsidRPr="005E0996" w:rsidRDefault="00724E48" w:rsidP="00724E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724E48" w:rsidRPr="005E0996" w:rsidRDefault="00724E48" w:rsidP="00724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724E48" w:rsidRPr="005E0996" w:rsidRDefault="00724E48" w:rsidP="00724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724E48" w:rsidRPr="005E0996" w:rsidRDefault="00724E48" w:rsidP="00724E4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4E48" w:rsidRPr="005E0996" w:rsidRDefault="00724E48" w:rsidP="00724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9"/>
        <w:gridCol w:w="7593"/>
      </w:tblGrid>
      <w:tr w:rsidR="00724E48" w:rsidRPr="005E0996" w:rsidTr="00D4575C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5E0996" w:rsidRDefault="00724E48" w:rsidP="00D457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724E48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724E48" w:rsidRPr="005E0996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724E48" w:rsidRPr="005E0996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724E48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11</w:t>
            </w:r>
            <w:r w:rsidR="0043499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508,4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1 630,4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933,0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3499C">
              <w:rPr>
                <w:rFonts w:ascii="Times New Roman" w:hAnsi="Times New Roman"/>
                <w:sz w:val="28"/>
                <w:szCs w:val="28"/>
                <w:lang w:eastAsia="ru-RU"/>
              </w:rPr>
              <w:t> 724,6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1 530,2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1 530,2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1 530,2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увеличение  количество посещений муниципальной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библиотеки поселения  до 12 700 посещений.</w:t>
            </w:r>
          </w:p>
          <w:p w:rsidR="00724E48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724E48" w:rsidRDefault="00724E48" w:rsidP="00724E48">
      <w:pPr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724E48" w:rsidRDefault="00724E48" w:rsidP="00724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724E48" w:rsidRPr="00993F0F" w:rsidRDefault="00724E48" w:rsidP="00724E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724E48" w:rsidRPr="00993F0F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B62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2</w:t>
      </w:r>
      <w:r w:rsidR="0043499C">
        <w:rPr>
          <w:rFonts w:ascii="Times New Roman" w:hAnsi="Times New Roman"/>
          <w:color w:val="FF0000"/>
          <w:sz w:val="28"/>
          <w:szCs w:val="28"/>
          <w:lang w:eastAsia="ru-RU"/>
        </w:rPr>
        <w:t> 897,2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630,4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40326">
        <w:rPr>
          <w:rFonts w:ascii="Times New Roman" w:hAnsi="Times New Roman"/>
          <w:color w:val="FF0000"/>
          <w:sz w:val="28"/>
          <w:szCs w:val="28"/>
          <w:lang w:eastAsia="ru-RU"/>
        </w:rPr>
        <w:t>3133,0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="0043499C">
        <w:rPr>
          <w:rFonts w:ascii="Times New Roman" w:hAnsi="Times New Roman"/>
          <w:sz w:val="28"/>
          <w:szCs w:val="28"/>
          <w:lang w:eastAsia="ru-RU"/>
        </w:rPr>
        <w:t> 724,6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1 530,2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1 530,2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1 530,2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724E48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24E48" w:rsidRPr="00993F0F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E48" w:rsidRPr="009744EF" w:rsidRDefault="00724E48" w:rsidP="00724E48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724E48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724E48" w:rsidRPr="005D2701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724E48" w:rsidRPr="006052E4" w:rsidRDefault="00724E48" w:rsidP="00724E48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24E48" w:rsidRPr="00715A20" w:rsidTr="00D4575C"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24E48" w:rsidRPr="00715A20" w:rsidTr="00D4575C">
        <w:trPr>
          <w:trHeight w:val="414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rPr>
          <w:trHeight w:val="486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724E48" w:rsidRDefault="00724E48" w:rsidP="00D4575C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673,7</w:t>
            </w:r>
          </w:p>
        </w:tc>
        <w:tc>
          <w:tcPr>
            <w:tcW w:w="1039" w:type="dxa"/>
          </w:tcPr>
          <w:p w:rsidR="00724E48" w:rsidRDefault="00724E48" w:rsidP="00D4575C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724E48" w:rsidRDefault="00724E48" w:rsidP="00D4575C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724E48" w:rsidRDefault="00724E48" w:rsidP="00D4575C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724E48" w:rsidRPr="00715A20" w:rsidTr="00D4575C">
        <w:trPr>
          <w:trHeight w:val="584"/>
        </w:trPr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24E48" w:rsidRPr="00715A20" w:rsidTr="00D4575C">
        <w:trPr>
          <w:trHeight w:val="484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665"/>
        </w:trPr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489"/>
        </w:trPr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rPr>
          <w:trHeight w:val="689"/>
        </w:trPr>
        <w:tc>
          <w:tcPr>
            <w:tcW w:w="735" w:type="dxa"/>
            <w:vMerge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1 724,6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843"/>
        </w:trPr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624"/>
        </w:trPr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761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265E55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724E48" w:rsidRPr="00715A20" w:rsidRDefault="00724E48" w:rsidP="007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7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3 133,0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1 724,6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</w:tr>
      <w:tr w:rsidR="00724E48" w:rsidRPr="00715A20" w:rsidTr="00D4575C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24E48" w:rsidRDefault="00724E48" w:rsidP="0072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724E48" w:rsidSect="00724E48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FF3877" w:rsidRDefault="00724E48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FF3877"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FF3877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FF3877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FF387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FF3877" w:rsidRDefault="00FF3877" w:rsidP="00FF387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E34222" w:rsidRDefault="00FF3877" w:rsidP="00FF387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FF3877" w:rsidRPr="00E34222" w:rsidRDefault="00FF3877" w:rsidP="00FF387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2B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 муниципальных служащих , прошедших курсы повышения квалификации, чел</w:t>
            </w:r>
          </w:p>
          <w:p w:rsidR="00FF3877" w:rsidRPr="00E34222" w:rsidRDefault="00FF3877" w:rsidP="004C758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F3877" w:rsidRPr="00E34222" w:rsidTr="004C7589">
        <w:trPr>
          <w:trHeight w:val="4244"/>
        </w:trPr>
        <w:tc>
          <w:tcPr>
            <w:tcW w:w="2568" w:type="dxa"/>
          </w:tcPr>
          <w:p w:rsidR="00FF3877" w:rsidRPr="00E34222" w:rsidRDefault="00FF3877" w:rsidP="004C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3EC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288,8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</w:t>
            </w:r>
            <w:r w:rsidRPr="00FF353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– </w:t>
            </w:r>
            <w:r w:rsidR="00FF3538" w:rsidRPr="00FF353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3</w:t>
            </w:r>
            <w:r w:rsidR="002F0CB0" w:rsidRPr="002F0CB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 w:rsidRPr="002F0CB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,</w:t>
            </w:r>
            <w:r w:rsidRPr="006A48F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6B3E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B3E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17,0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333E12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- 2020 г. – 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877" w:rsidRPr="00A05810" w:rsidRDefault="00FF3877" w:rsidP="006A48FB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D4575C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FF3877" w:rsidRPr="00205A1F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FF3877" w:rsidRPr="00F82E3B" w:rsidRDefault="00FF3877" w:rsidP="00FF3877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4C7589">
        <w:trPr>
          <w:trHeight w:val="774"/>
        </w:trPr>
        <w:tc>
          <w:tcPr>
            <w:tcW w:w="4219" w:type="dxa"/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4C7589">
        <w:tc>
          <w:tcPr>
            <w:tcW w:w="4219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205A1F" w:rsidRDefault="00D4575C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</w:tr>
    </w:tbl>
    <w:p w:rsidR="00FF3877" w:rsidRDefault="00FF3877" w:rsidP="00FF3877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F3877" w:rsidRPr="00F82E3B" w:rsidRDefault="00FF3877" w:rsidP="00FF3877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4C7589">
        <w:trPr>
          <w:trHeight w:val="774"/>
        </w:trPr>
        <w:tc>
          <w:tcPr>
            <w:tcW w:w="4219" w:type="dxa"/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4C7589">
        <w:tc>
          <w:tcPr>
            <w:tcW w:w="4219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</w:t>
      </w:r>
      <w:r w:rsidR="0043499C">
        <w:rPr>
          <w:rFonts w:ascii="Times New Roman" w:hAnsi="Times New Roman"/>
          <w:sz w:val="28"/>
          <w:szCs w:val="28"/>
          <w:lang w:eastAsia="ru-RU"/>
        </w:rPr>
        <w:t xml:space="preserve"> и внесение изменений </w:t>
      </w:r>
      <w:r w:rsidRPr="00A05810">
        <w:rPr>
          <w:rFonts w:ascii="Times New Roman" w:hAnsi="Times New Roman"/>
          <w:sz w:val="28"/>
          <w:szCs w:val="28"/>
          <w:lang w:eastAsia="ru-RU"/>
        </w:rPr>
        <w:t>генерально</w:t>
      </w:r>
      <w:r w:rsidR="0043499C">
        <w:rPr>
          <w:rFonts w:ascii="Times New Roman" w:hAnsi="Times New Roman"/>
          <w:sz w:val="28"/>
          <w:szCs w:val="28"/>
          <w:lang w:eastAsia="ru-RU"/>
        </w:rPr>
        <w:t>го</w:t>
      </w:r>
      <w:r w:rsidRPr="00A05810">
        <w:rPr>
          <w:rFonts w:ascii="Times New Roman" w:hAnsi="Times New Roman"/>
          <w:sz w:val="28"/>
          <w:szCs w:val="28"/>
          <w:lang w:eastAsia="ru-RU"/>
        </w:rPr>
        <w:t xml:space="preserve"> плана,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F3877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F3877">
        <w:rPr>
          <w:rFonts w:ascii="Times New Roman" w:hAnsi="Times New Roman"/>
          <w:sz w:val="28"/>
          <w:szCs w:val="28"/>
          <w:lang w:eastAsia="ru-RU"/>
        </w:rPr>
        <w:t>Объем</w:t>
      </w:r>
      <w:r w:rsidR="00FF3877"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 w:rsidR="00FF3877"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 на 2014 год составит – 1 000,0 тыс. руб. из них: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за счет местного бюджета в размере – 100,0 тыс. руб.;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Объем</w:t>
      </w:r>
      <w:r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программного мероприятия на 201</w:t>
      </w:r>
      <w:r w:rsidR="000B5D9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составит –</w:t>
      </w:r>
      <w:r w:rsidR="000B5D9F">
        <w:rPr>
          <w:rFonts w:ascii="Times New Roman" w:hAnsi="Times New Roman"/>
          <w:sz w:val="28"/>
          <w:szCs w:val="28"/>
          <w:lang w:eastAsia="ru-RU"/>
        </w:rPr>
        <w:t>100</w:t>
      </w:r>
      <w:r>
        <w:rPr>
          <w:rFonts w:ascii="Times New Roman" w:hAnsi="Times New Roman"/>
          <w:sz w:val="28"/>
          <w:szCs w:val="28"/>
          <w:lang w:eastAsia="ru-RU"/>
        </w:rPr>
        <w:t>,0 тыс. руб. из них: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</w:t>
      </w:r>
      <w:r w:rsidR="000B5D9F">
        <w:rPr>
          <w:rFonts w:ascii="Times New Roman" w:hAnsi="Times New Roman"/>
          <w:sz w:val="28"/>
          <w:szCs w:val="28"/>
          <w:lang w:eastAsia="ru-RU"/>
        </w:rPr>
        <w:t>, карт(планов)</w:t>
      </w:r>
      <w:r w:rsidR="002F0CB0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пунктов, границ территориальных зон </w:t>
      </w:r>
      <w:r>
        <w:rPr>
          <w:rFonts w:ascii="Times New Roman" w:hAnsi="Times New Roman"/>
          <w:sz w:val="28"/>
          <w:szCs w:val="28"/>
          <w:lang w:eastAsia="ru-RU"/>
        </w:rPr>
        <w:t>сельских поселений и документации по планировке территорий городских округов, городских и сельских поселений</w:t>
      </w:r>
      <w:r w:rsidR="002F0CB0">
        <w:rPr>
          <w:rFonts w:ascii="Times New Roman" w:hAnsi="Times New Roman"/>
          <w:sz w:val="28"/>
          <w:szCs w:val="28"/>
          <w:lang w:eastAsia="ru-RU"/>
        </w:rPr>
        <w:t xml:space="preserve"> Липецкой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– </w:t>
      </w:r>
      <w:r w:rsidR="000B5D9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0 тыс. руб.  </w:t>
      </w:r>
    </w:p>
    <w:p w:rsidR="0043499C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877" w:rsidRPr="00243F16" w:rsidRDefault="00FF3877" w:rsidP="00FF3877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F3877" w:rsidRDefault="00FF3877" w:rsidP="00FF387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5620F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232EA">
              <w:rPr>
                <w:rFonts w:ascii="Times New Roman" w:hAnsi="Times New Roman" w:cs="Times New Roman"/>
                <w:sz w:val="28"/>
                <w:szCs w:val="24"/>
              </w:rPr>
              <w:t>межбюджетные субсидии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3877" w:rsidRDefault="00FF3877" w:rsidP="00FF3877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6A48FB" w:rsidRDefault="006A48FB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735DD" w:rsidRDefault="006B3EC9" w:rsidP="006A48FB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6B3EC9">
        <w:rPr>
          <w:rFonts w:ascii="Times New Roman" w:hAnsi="Times New Roman"/>
          <w:b/>
          <w:sz w:val="28"/>
          <w:szCs w:val="24"/>
          <w:lang w:eastAsia="ru-RU"/>
        </w:rPr>
        <w:t>8.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Подготовка сведений об инвентаризационной стоимости</w:t>
      </w:r>
      <w:r w:rsidR="009735DD">
        <w:rPr>
          <w:rFonts w:ascii="Times New Roman" w:hAnsi="Times New Roman"/>
          <w:b/>
          <w:sz w:val="28"/>
          <w:szCs w:val="24"/>
          <w:lang w:eastAsia="ru-RU"/>
        </w:rPr>
        <w:t xml:space="preserve"> зданий, помещений, сооружений и кадастровой стоимости земельных участков, принадлежащих гражданам на праве собственности.</w:t>
      </w:r>
    </w:p>
    <w:p w:rsidR="009735DD" w:rsidRDefault="009735DD" w:rsidP="009735D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735DD" w:rsidRPr="00A34CE9" w:rsidTr="00846A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735DD" w:rsidRPr="00A34CE9" w:rsidTr="00846A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C232E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232EA">
              <w:rPr>
                <w:rFonts w:ascii="Times New Roman" w:hAnsi="Times New Roman" w:cs="Times New Roman"/>
                <w:sz w:val="28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A80D37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A80D37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735DD" w:rsidRPr="00A34CE9" w:rsidTr="00846A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A80D37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846A15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A80D37" w:rsidP="00846A1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A80D37" w:rsidP="00846A1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80D37" w:rsidRDefault="00A80D37" w:rsidP="00A80D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735DD" w:rsidRPr="00A34CE9" w:rsidRDefault="009735DD" w:rsidP="009735D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80D37" w:rsidRPr="00993F0F" w:rsidRDefault="00A80D37" w:rsidP="00A80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1 657,4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1 071,3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342,0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165,1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0,00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17,0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45,0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17,0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735DD" w:rsidRDefault="009735DD" w:rsidP="009735DD">
      <w:pPr>
        <w:rPr>
          <w:rFonts w:ascii="Times New Roman" w:hAnsi="Times New Roman"/>
          <w:sz w:val="28"/>
          <w:szCs w:val="24"/>
          <w:lang w:eastAsia="ru-RU"/>
        </w:rPr>
      </w:pPr>
    </w:p>
    <w:p w:rsidR="009735DD" w:rsidRDefault="009735DD" w:rsidP="009735DD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Pr="009735DD" w:rsidRDefault="00FF3877" w:rsidP="009735DD">
      <w:pPr>
        <w:rPr>
          <w:rFonts w:ascii="Times New Roman" w:hAnsi="Times New Roman"/>
          <w:sz w:val="28"/>
          <w:szCs w:val="24"/>
          <w:lang w:eastAsia="ru-RU"/>
        </w:rPr>
        <w:sectPr w:rsidR="00FF3877" w:rsidRPr="009735DD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F66191" w:rsidRPr="00940326" w:rsidRDefault="00A80D37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</w:t>
      </w:r>
      <w:r w:rsidR="0054198B">
        <w:rPr>
          <w:rFonts w:ascii="Times New Roman" w:hAnsi="Times New Roman"/>
          <w:sz w:val="20"/>
          <w:szCs w:val="28"/>
        </w:rPr>
        <w:t>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5C2B" w:rsidRDefault="00DD5C2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0B4C75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B27">
              <w:rPr>
                <w:b/>
                <w:sz w:val="24"/>
                <w:szCs w:val="24"/>
              </w:rPr>
              <w:t>6</w:t>
            </w:r>
            <w:r w:rsidR="00531BB0">
              <w:rPr>
                <w:b/>
                <w:sz w:val="24"/>
                <w:szCs w:val="24"/>
              </w:rPr>
              <w:t>733,7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9E3CA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5599,7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3CAA">
              <w:rPr>
                <w:b/>
                <w:sz w:val="24"/>
                <w:szCs w:val="24"/>
              </w:rPr>
              <w:t>883,4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31BB0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1BB0">
              <w:rPr>
                <w:b/>
                <w:sz w:val="24"/>
                <w:szCs w:val="24"/>
              </w:rPr>
              <w:t>729,4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CAA">
              <w:rPr>
                <w:sz w:val="24"/>
                <w:szCs w:val="24"/>
              </w:rPr>
              <w:t>301,6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62139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333E12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E12">
              <w:rPr>
                <w:sz w:val="24"/>
                <w:szCs w:val="24"/>
              </w:rPr>
              <w:t>920,7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56054E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E3CAA">
              <w:rPr>
                <w:b/>
                <w:sz w:val="24"/>
                <w:szCs w:val="24"/>
              </w:rPr>
              <w:t>719,8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4C75">
              <w:rPr>
                <w:sz w:val="24"/>
                <w:szCs w:val="24"/>
              </w:rPr>
              <w:t>3</w:t>
            </w:r>
            <w:r w:rsidR="009E3CAA">
              <w:rPr>
                <w:sz w:val="24"/>
                <w:szCs w:val="24"/>
              </w:rPr>
              <w:t>77</w:t>
            </w:r>
            <w:r w:rsidR="00C86B27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CAA">
              <w:rPr>
                <w:sz w:val="24"/>
                <w:szCs w:val="24"/>
              </w:rPr>
              <w:t>883,4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3E12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521E1">
              <w:rPr>
                <w:b/>
                <w:sz w:val="24"/>
                <w:szCs w:val="24"/>
              </w:rPr>
              <w:t>177,5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D5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2D7">
              <w:rPr>
                <w:sz w:val="24"/>
                <w:szCs w:val="24"/>
              </w:rPr>
              <w:t>3</w:t>
            </w:r>
            <w:r w:rsidR="00D521E1">
              <w:rPr>
                <w:sz w:val="24"/>
                <w:szCs w:val="24"/>
              </w:rPr>
              <w:t>00</w:t>
            </w:r>
            <w:r w:rsidR="007152D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7152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92048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D521E1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1E1">
              <w:rPr>
                <w:sz w:val="24"/>
                <w:szCs w:val="24"/>
              </w:rPr>
              <w:t>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92048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152D7">
              <w:rPr>
                <w:b/>
                <w:sz w:val="24"/>
                <w:szCs w:val="24"/>
              </w:rPr>
              <w:t>921,0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7152D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7152D7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</w:t>
            </w:r>
            <w:r w:rsidRPr="00150291">
              <w:rPr>
                <w:color w:val="000000"/>
                <w:sz w:val="24"/>
                <w:szCs w:val="28"/>
              </w:rPr>
              <w:lastRenderedPageBreak/>
              <w:t>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940326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152D7">
              <w:rPr>
                <w:b/>
                <w:sz w:val="24"/>
                <w:szCs w:val="24"/>
              </w:rPr>
              <w:t>897,2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3133,0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2D7">
              <w:rPr>
                <w:sz w:val="24"/>
                <w:szCs w:val="24"/>
              </w:rPr>
              <w:t>724,6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</w:t>
            </w:r>
            <w:r w:rsidR="00C86B27">
              <w:rPr>
                <w:b/>
                <w:sz w:val="24"/>
                <w:szCs w:val="24"/>
              </w:rPr>
              <w:t>3</w:t>
            </w:r>
            <w:r w:rsidRPr="00CB41C4"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152D7">
              <w:rPr>
                <w:b/>
                <w:sz w:val="24"/>
                <w:szCs w:val="24"/>
              </w:rPr>
              <w:t>508,4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C86B27">
              <w:rPr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2D7">
              <w:rPr>
                <w:sz w:val="24"/>
                <w:szCs w:val="24"/>
              </w:rPr>
              <w:t>724,6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B4342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52D7">
              <w:rPr>
                <w:b/>
                <w:sz w:val="24"/>
                <w:szCs w:val="24"/>
              </w:rPr>
              <w:t>657,4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E621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7152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7152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7152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</w:t>
            </w:r>
            <w:r w:rsidR="007152D7">
              <w:rPr>
                <w:b/>
                <w:sz w:val="24"/>
                <w:szCs w:val="24"/>
              </w:rPr>
              <w:t>340,6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2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52D7">
              <w:rPr>
                <w:b/>
                <w:sz w:val="24"/>
                <w:szCs w:val="24"/>
              </w:rPr>
              <w:t>8</w:t>
            </w:r>
            <w:r w:rsidR="00333E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7152D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78E8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7152D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333E1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C78E8">
              <w:rPr>
                <w:sz w:val="24"/>
                <w:szCs w:val="24"/>
              </w:rPr>
              <w:t>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940326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6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4750C6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9E3CAA">
              <w:rPr>
                <w:b/>
                <w:szCs w:val="24"/>
              </w:rPr>
              <w:t>719,8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1323F" w:rsidRDefault="004750C6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E3CA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348" w:type="pct"/>
          </w:tcPr>
          <w:p w:rsidR="007369FF" w:rsidRPr="0081323F" w:rsidRDefault="00A029EE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7524">
              <w:rPr>
                <w:b/>
                <w:sz w:val="24"/>
                <w:szCs w:val="24"/>
              </w:rPr>
              <w:t>883,4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33E12"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C24E33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4070F5">
              <w:rPr>
                <w:b/>
                <w:szCs w:val="24"/>
              </w:rPr>
              <w:t>921,0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ED4D3F" w:rsidRDefault="00C24E3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750C6">
              <w:rPr>
                <w:sz w:val="24"/>
                <w:szCs w:val="24"/>
              </w:rPr>
              <w:t>7,3</w:t>
            </w:r>
          </w:p>
        </w:tc>
        <w:tc>
          <w:tcPr>
            <w:tcW w:w="348" w:type="pct"/>
          </w:tcPr>
          <w:p w:rsidR="007369FF" w:rsidRPr="00ED4D3F" w:rsidRDefault="004070F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Pr="008257EC" w:rsidRDefault="002439A3" w:rsidP="00E8565D">
            <w:pPr>
              <w:spacing w:after="0" w:line="240" w:lineRule="auto"/>
              <w:rPr>
                <w:b/>
                <w:sz w:val="20"/>
              </w:rPr>
            </w:pPr>
            <w:r w:rsidRPr="008257EC">
              <w:rPr>
                <w:b/>
                <w:sz w:val="20"/>
              </w:rPr>
              <w:t xml:space="preserve">«Содержание автомобильных </w:t>
            </w:r>
            <w:r w:rsidRPr="008257EC">
              <w:rPr>
                <w:b/>
                <w:sz w:val="20"/>
              </w:rPr>
              <w:lastRenderedPageBreak/>
              <w:t>дорог</w:t>
            </w:r>
            <w:r w:rsidR="00C47FC7" w:rsidRPr="008257EC">
              <w:rPr>
                <w:b/>
                <w:sz w:val="20"/>
              </w:rPr>
              <w:t xml:space="preserve"> местного значения</w:t>
            </w:r>
            <w:r w:rsidRPr="008257EC">
              <w:rPr>
                <w:b/>
                <w:sz w:val="20"/>
              </w:rPr>
              <w:t xml:space="preserve"> сельского поселения»</w:t>
            </w: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439A3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39A3">
              <w:rPr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8257EC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8257EC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257EC">
              <w:rPr>
                <w:b/>
                <w:sz w:val="20"/>
              </w:rPr>
              <w:t>«</w:t>
            </w:r>
            <w:r w:rsidR="007369FF" w:rsidRPr="008257EC">
              <w:rPr>
                <w:b/>
                <w:sz w:val="20"/>
              </w:rPr>
              <w:t>Закольцовка водопровода по ул. Железнодорожная</w:t>
            </w:r>
            <w:r w:rsidRPr="008257EC">
              <w:rPr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4070F5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2094,6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Pr="00ED4D3F" w:rsidRDefault="004070F5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E90">
              <w:rPr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70F5">
              <w:rPr>
                <w:b/>
                <w:sz w:val="24"/>
                <w:szCs w:val="24"/>
              </w:rPr>
              <w:t>348,6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Default="004070F5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0A7FBF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0A7FBF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>«</w:t>
            </w:r>
            <w:r w:rsidR="002F2C4A" w:rsidRPr="008257EC">
              <w:rPr>
                <w:b/>
                <w:sz w:val="20"/>
                <w:szCs w:val="24"/>
              </w:rPr>
              <w:t xml:space="preserve">Организация строительства и </w:t>
            </w:r>
            <w:r w:rsidR="002F2C4A" w:rsidRPr="008257EC">
              <w:rPr>
                <w:b/>
                <w:sz w:val="20"/>
                <w:szCs w:val="24"/>
              </w:rPr>
              <w:lastRenderedPageBreak/>
              <w:t>содержание муниципального жилищного фонда</w:t>
            </w:r>
            <w:r w:rsidRPr="008257EC">
              <w:rPr>
                <w:b/>
                <w:sz w:val="20"/>
                <w:szCs w:val="24"/>
              </w:rPr>
              <w:t>»</w:t>
            </w:r>
          </w:p>
          <w:p w:rsid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011EF1" w:rsidRP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0159999</w:t>
            </w:r>
          </w:p>
        </w:tc>
        <w:tc>
          <w:tcPr>
            <w:tcW w:w="347" w:type="pct"/>
          </w:tcPr>
          <w:p w:rsidR="002F2C4A" w:rsidRDefault="00011EF1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C24E3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6,5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</w:tc>
        <w:tc>
          <w:tcPr>
            <w:tcW w:w="298" w:type="pct"/>
          </w:tcPr>
          <w:p w:rsidR="002F2C4A" w:rsidRPr="0003009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28,4</w:t>
            </w:r>
          </w:p>
        </w:tc>
        <w:tc>
          <w:tcPr>
            <w:tcW w:w="347" w:type="pct"/>
          </w:tcPr>
          <w:p w:rsidR="002F2C4A" w:rsidRPr="00030096" w:rsidRDefault="00C24E3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EF1">
              <w:rPr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</w:t>
            </w:r>
          </w:p>
          <w:p w:rsidR="00011EF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EF1" w:rsidRDefault="00C24E33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1EF1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Pr="00030096" w:rsidRDefault="00C24E3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EF1">
              <w:rPr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4070F5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11 508,4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ED4D3F" w:rsidRDefault="001727B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FF7407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FF7407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ED4D3F" w:rsidRDefault="004070F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485C7A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70F5">
              <w:rPr>
                <w:b/>
                <w:sz w:val="24"/>
                <w:szCs w:val="24"/>
              </w:rPr>
              <w:t>37,9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4070F5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11 069,4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0F5">
              <w:rPr>
                <w:sz w:val="24"/>
                <w:szCs w:val="24"/>
              </w:rPr>
              <w:t>724,6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070F5">
              <w:rPr>
                <w:b/>
                <w:sz w:val="24"/>
                <w:szCs w:val="24"/>
              </w:rPr>
              <w:t>905,6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4070F5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DE339F" w:rsidRPr="00ED4D3F" w:rsidTr="00864C0B">
        <w:trPr>
          <w:trHeight w:val="3496"/>
        </w:trPr>
        <w:tc>
          <w:tcPr>
            <w:tcW w:w="187" w:type="pct"/>
          </w:tcPr>
          <w:p w:rsidR="00CA04D7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056021" w:rsidRPr="00056021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56021">
              <w:rPr>
                <w:b/>
                <w:szCs w:val="24"/>
              </w:rPr>
              <w:t>«</w:t>
            </w:r>
            <w:r w:rsidR="00056021" w:rsidRPr="00056021">
              <w:rPr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056021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3.1 </w:t>
            </w:r>
            <w:bookmarkStart w:id="0" w:name="_GoBack"/>
            <w:r>
              <w:rPr>
                <w:sz w:val="20"/>
                <w:szCs w:val="24"/>
              </w:rPr>
              <w:t>Капитальный ремонт</w:t>
            </w:r>
            <w:r w:rsidR="00DF6F19">
              <w:rPr>
                <w:sz w:val="20"/>
                <w:szCs w:val="24"/>
              </w:rPr>
              <w:t xml:space="preserve"> здания</w:t>
            </w:r>
            <w:r>
              <w:rPr>
                <w:sz w:val="20"/>
                <w:szCs w:val="24"/>
              </w:rPr>
              <w:t xml:space="preserve"> </w:t>
            </w:r>
            <w:r w:rsidR="00BD5CB9">
              <w:rPr>
                <w:sz w:val="20"/>
                <w:szCs w:val="24"/>
              </w:rPr>
              <w:t>МАУК «Хворостянский ПЦК», Хворостянский СДК</w:t>
            </w:r>
            <w:r w:rsidR="008257EC" w:rsidRPr="008257EC">
              <w:rPr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4D035A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6010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04D7" w:rsidRPr="00D846F8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056021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339F">
              <w:rPr>
                <w:sz w:val="24"/>
                <w:szCs w:val="24"/>
              </w:rPr>
              <w:t xml:space="preserve">   300,0</w:t>
            </w:r>
          </w:p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864C0B" w:rsidRPr="00864C0B" w:rsidRDefault="00864C0B" w:rsidP="00864C0B">
            <w:pPr>
              <w:rPr>
                <w:sz w:val="24"/>
                <w:szCs w:val="24"/>
              </w:rPr>
            </w:pPr>
          </w:p>
          <w:p w:rsidR="00CA04D7" w:rsidRPr="00864C0B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300,0</w:t>
            </w:r>
          </w:p>
        </w:tc>
        <w:tc>
          <w:tcPr>
            <w:tcW w:w="348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 w:rsidR="00CA04D7">
              <w:rPr>
                <w:b/>
                <w:szCs w:val="24"/>
              </w:rPr>
              <w:t xml:space="preserve"> 4</w:t>
            </w:r>
            <w:r w:rsidRPr="004D035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2F2C4A">
              <w:rPr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7EC"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</w:t>
            </w:r>
            <w:r>
              <w:rPr>
                <w:color w:val="000000"/>
                <w:szCs w:val="28"/>
              </w:rPr>
              <w:lastRenderedPageBreak/>
              <w:t xml:space="preserve">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2663C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288,8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2C4A">
              <w:rPr>
                <w:sz w:val="24"/>
                <w:szCs w:val="24"/>
              </w:rPr>
              <w:t>5,5</w:t>
            </w:r>
          </w:p>
        </w:tc>
        <w:tc>
          <w:tcPr>
            <w:tcW w:w="348" w:type="pct"/>
          </w:tcPr>
          <w:p w:rsidR="002F2C4A" w:rsidRDefault="002663C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333E1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F2C4A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</w:t>
            </w:r>
            <w:r w:rsidR="008D6B9C">
              <w:rPr>
                <w:szCs w:val="24"/>
              </w:rPr>
              <w:lastRenderedPageBreak/>
              <w:t>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2663C3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2663C3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663C3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663C3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266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63C3"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663C3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663C3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63C3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63C3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63C3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2663C3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663C3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>«Мероприятия по подготовке 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A72FA8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24E33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Внесение изменений в </w:t>
            </w:r>
            <w:r>
              <w:rPr>
                <w:sz w:val="20"/>
                <w:szCs w:val="20"/>
              </w:rPr>
              <w:lastRenderedPageBreak/>
              <w:t>генеральный план и правила землепользования и застройки сельского поселения</w:t>
            </w:r>
          </w:p>
          <w:p w:rsidR="00A72FA8" w:rsidRPr="00A72FA8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C2701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2F2C4A" w:rsidRPr="00A72FA8" w:rsidRDefault="00A72FA8" w:rsidP="00A7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7C2701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2F2C4A" w:rsidRPr="00A72FA8" w:rsidRDefault="00A72FA8" w:rsidP="00A7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7C2701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2F2C4A" w:rsidRPr="00A72FA8" w:rsidRDefault="00A72FA8" w:rsidP="00A7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6020</w:t>
            </w:r>
          </w:p>
        </w:tc>
        <w:tc>
          <w:tcPr>
            <w:tcW w:w="347" w:type="pct"/>
          </w:tcPr>
          <w:p w:rsidR="007C2701" w:rsidRPr="00A72FA8" w:rsidRDefault="00A72FA8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  <w:p w:rsidR="007C2701" w:rsidRPr="00A72FA8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A72FA8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A72FA8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A72FA8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72FA8" w:rsidRPr="00A72FA8" w:rsidRDefault="002F2C4A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2FA8">
              <w:rPr>
                <w:b/>
                <w:sz w:val="24"/>
                <w:szCs w:val="24"/>
              </w:rPr>
              <w:t>100,0</w:t>
            </w:r>
          </w:p>
          <w:p w:rsidR="00A72FA8" w:rsidRPr="00A72FA8" w:rsidRDefault="00A72FA8" w:rsidP="002663C3">
            <w:pPr>
              <w:jc w:val="center"/>
              <w:rPr>
                <w:b/>
                <w:sz w:val="24"/>
                <w:szCs w:val="24"/>
              </w:rPr>
            </w:pPr>
          </w:p>
          <w:p w:rsidR="00A72FA8" w:rsidRPr="00A72FA8" w:rsidRDefault="00A72FA8" w:rsidP="002663C3">
            <w:pPr>
              <w:jc w:val="center"/>
              <w:rPr>
                <w:b/>
                <w:sz w:val="24"/>
                <w:szCs w:val="24"/>
              </w:rPr>
            </w:pPr>
          </w:p>
          <w:p w:rsidR="002F2C4A" w:rsidRPr="00A72FA8" w:rsidRDefault="00A72FA8" w:rsidP="002663C3">
            <w:pPr>
              <w:jc w:val="center"/>
              <w:rPr>
                <w:b/>
                <w:sz w:val="24"/>
                <w:szCs w:val="24"/>
              </w:rPr>
            </w:pPr>
            <w:r w:rsidRPr="00A72FA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348" w:type="pct"/>
          </w:tcPr>
          <w:p w:rsidR="002663C3" w:rsidRDefault="002663C3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663C3" w:rsidRPr="002663C3" w:rsidRDefault="002663C3" w:rsidP="002663C3">
            <w:pPr>
              <w:jc w:val="center"/>
              <w:rPr>
                <w:sz w:val="24"/>
                <w:szCs w:val="24"/>
              </w:rPr>
            </w:pPr>
          </w:p>
          <w:p w:rsidR="002663C3" w:rsidRDefault="002663C3" w:rsidP="002663C3">
            <w:pPr>
              <w:jc w:val="center"/>
              <w:rPr>
                <w:sz w:val="24"/>
                <w:szCs w:val="24"/>
              </w:rPr>
            </w:pPr>
          </w:p>
          <w:p w:rsidR="002F2C4A" w:rsidRPr="002663C3" w:rsidRDefault="002663C3" w:rsidP="00266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A72FA8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A72FA8" w:rsidRPr="00A72FA8" w:rsidRDefault="00A72FA8" w:rsidP="00A72FA8">
            <w:pPr>
              <w:rPr>
                <w:sz w:val="24"/>
                <w:szCs w:val="24"/>
              </w:rPr>
            </w:pPr>
          </w:p>
          <w:p w:rsidR="00A72FA8" w:rsidRPr="00A72FA8" w:rsidRDefault="00A72FA8" w:rsidP="00A72FA8">
            <w:pPr>
              <w:rPr>
                <w:sz w:val="24"/>
                <w:szCs w:val="24"/>
              </w:rPr>
            </w:pPr>
          </w:p>
          <w:p w:rsidR="00A72FA8" w:rsidRPr="00A72FA8" w:rsidRDefault="00A72FA8" w:rsidP="00A72FA8">
            <w:pPr>
              <w:rPr>
                <w:sz w:val="24"/>
                <w:szCs w:val="24"/>
              </w:rPr>
            </w:pPr>
          </w:p>
          <w:p w:rsidR="00A72FA8" w:rsidRPr="00A72FA8" w:rsidRDefault="00A72FA8" w:rsidP="00A72FA8">
            <w:pPr>
              <w:rPr>
                <w:sz w:val="24"/>
                <w:szCs w:val="24"/>
              </w:rPr>
            </w:pP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2F2C4A" w:rsidRPr="00A72FA8" w:rsidRDefault="00A72FA8" w:rsidP="00A7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C2B" w:rsidRPr="00ED4D3F" w:rsidTr="007C2701">
        <w:trPr>
          <w:trHeight w:val="705"/>
        </w:trPr>
        <w:tc>
          <w:tcPr>
            <w:tcW w:w="187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DD5C2B" w:rsidRDefault="00DD5C2B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« </w:t>
            </w:r>
            <w:r>
              <w:rPr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DD5C2B" w:rsidRP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8.1. Расходы по подготовке сведений об инвентаризационной </w:t>
            </w:r>
            <w:r>
              <w:rPr>
                <w:szCs w:val="24"/>
              </w:rPr>
              <w:lastRenderedPageBreak/>
              <w:t xml:space="preserve">стоимости зданий, помещений, сооружений и кадастровой стоимости земельных участков, принадлежащих гражданам на праве собственности 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DD5C2B" w:rsidRP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DD5C2B" w:rsidRDefault="00DD5C2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DD5C2B" w:rsidRP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  <w:r w:rsidRPr="00DD5C2B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D5C2B" w:rsidRDefault="00DD5C2B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346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7016F5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8E" w:rsidRDefault="003E308E" w:rsidP="009744EF">
      <w:pPr>
        <w:spacing w:after="0" w:line="240" w:lineRule="auto"/>
      </w:pPr>
      <w:r>
        <w:separator/>
      </w:r>
    </w:p>
  </w:endnote>
  <w:endnote w:type="continuationSeparator" w:id="0">
    <w:p w:rsidR="003E308E" w:rsidRDefault="003E308E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8E" w:rsidRDefault="003E308E" w:rsidP="009744EF">
      <w:pPr>
        <w:spacing w:after="0" w:line="240" w:lineRule="auto"/>
      </w:pPr>
      <w:r>
        <w:separator/>
      </w:r>
    </w:p>
  </w:footnote>
  <w:footnote w:type="continuationSeparator" w:id="0">
    <w:p w:rsidR="003E308E" w:rsidRDefault="003E308E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71F"/>
    <w:multiLevelType w:val="hybridMultilevel"/>
    <w:tmpl w:val="ACDCF254"/>
    <w:lvl w:ilvl="0" w:tplc="5E18473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4"/>
  </w:num>
  <w:num w:numId="7">
    <w:abstractNumId w:val="6"/>
  </w:num>
  <w:num w:numId="8">
    <w:abstractNumId w:val="17"/>
  </w:num>
  <w:num w:numId="9">
    <w:abstractNumId w:val="1"/>
  </w:num>
  <w:num w:numId="10">
    <w:abstractNumId w:val="16"/>
  </w:num>
  <w:num w:numId="11">
    <w:abstractNumId w:val="18"/>
  </w:num>
  <w:num w:numId="12">
    <w:abstractNumId w:val="5"/>
  </w:num>
  <w:num w:numId="13">
    <w:abstractNumId w:val="4"/>
  </w:num>
  <w:num w:numId="14">
    <w:abstractNumId w:val="19"/>
  </w:num>
  <w:num w:numId="15">
    <w:abstractNumId w:val="10"/>
  </w:num>
  <w:num w:numId="16">
    <w:abstractNumId w:val="13"/>
  </w:num>
  <w:num w:numId="17">
    <w:abstractNumId w:val="12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5D9F"/>
    <w:rsid w:val="000B6748"/>
    <w:rsid w:val="000C6159"/>
    <w:rsid w:val="000C687D"/>
    <w:rsid w:val="000C6AF6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0940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450B"/>
    <w:rsid w:val="002852EA"/>
    <w:rsid w:val="00291865"/>
    <w:rsid w:val="002A40BE"/>
    <w:rsid w:val="002B782C"/>
    <w:rsid w:val="002C18E2"/>
    <w:rsid w:val="002C52D0"/>
    <w:rsid w:val="002C650F"/>
    <w:rsid w:val="002E2DD4"/>
    <w:rsid w:val="002F0CB0"/>
    <w:rsid w:val="002F2C4A"/>
    <w:rsid w:val="003021F6"/>
    <w:rsid w:val="00327DA5"/>
    <w:rsid w:val="00327DF0"/>
    <w:rsid w:val="00333E12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E308E"/>
    <w:rsid w:val="003F228A"/>
    <w:rsid w:val="003F2668"/>
    <w:rsid w:val="003F473A"/>
    <w:rsid w:val="003F756A"/>
    <w:rsid w:val="004070F5"/>
    <w:rsid w:val="00410E8C"/>
    <w:rsid w:val="00420E3A"/>
    <w:rsid w:val="00421ACA"/>
    <w:rsid w:val="00424FC3"/>
    <w:rsid w:val="00426878"/>
    <w:rsid w:val="004334BE"/>
    <w:rsid w:val="0043499C"/>
    <w:rsid w:val="00441171"/>
    <w:rsid w:val="004415A9"/>
    <w:rsid w:val="00443217"/>
    <w:rsid w:val="00444A30"/>
    <w:rsid w:val="00454166"/>
    <w:rsid w:val="00455780"/>
    <w:rsid w:val="00472621"/>
    <w:rsid w:val="004750C6"/>
    <w:rsid w:val="00483BF5"/>
    <w:rsid w:val="00485C7A"/>
    <w:rsid w:val="00487663"/>
    <w:rsid w:val="00494D06"/>
    <w:rsid w:val="00497764"/>
    <w:rsid w:val="004B39F8"/>
    <w:rsid w:val="004C7589"/>
    <w:rsid w:val="004F0EC7"/>
    <w:rsid w:val="004F4378"/>
    <w:rsid w:val="004F706D"/>
    <w:rsid w:val="0050403B"/>
    <w:rsid w:val="00510F97"/>
    <w:rsid w:val="0051430D"/>
    <w:rsid w:val="0051799A"/>
    <w:rsid w:val="0052280B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2A91"/>
    <w:rsid w:val="005F740C"/>
    <w:rsid w:val="00610C5D"/>
    <w:rsid w:val="00613218"/>
    <w:rsid w:val="0062046D"/>
    <w:rsid w:val="00621F83"/>
    <w:rsid w:val="00625B0A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A48FB"/>
    <w:rsid w:val="006B3EC9"/>
    <w:rsid w:val="006B7329"/>
    <w:rsid w:val="006C78E8"/>
    <w:rsid w:val="006E463F"/>
    <w:rsid w:val="006E69CB"/>
    <w:rsid w:val="006F3FCE"/>
    <w:rsid w:val="007016F5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A3783"/>
    <w:rsid w:val="007A4623"/>
    <w:rsid w:val="007B2359"/>
    <w:rsid w:val="007B6E2D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101A"/>
    <w:rsid w:val="00836866"/>
    <w:rsid w:val="008377BE"/>
    <w:rsid w:val="008433C7"/>
    <w:rsid w:val="00850992"/>
    <w:rsid w:val="00850DC1"/>
    <w:rsid w:val="008612FF"/>
    <w:rsid w:val="00864C0B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0326"/>
    <w:rsid w:val="00945763"/>
    <w:rsid w:val="00946F21"/>
    <w:rsid w:val="00947A80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09FC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80D37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1933"/>
    <w:rsid w:val="00B57F55"/>
    <w:rsid w:val="00B60ED0"/>
    <w:rsid w:val="00B652D6"/>
    <w:rsid w:val="00B67AAA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773D"/>
    <w:rsid w:val="00BF7B85"/>
    <w:rsid w:val="00BF7B8F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6550B"/>
    <w:rsid w:val="00D67451"/>
    <w:rsid w:val="00D76626"/>
    <w:rsid w:val="00D846F8"/>
    <w:rsid w:val="00D879CF"/>
    <w:rsid w:val="00DA4379"/>
    <w:rsid w:val="00DA724D"/>
    <w:rsid w:val="00DB37A6"/>
    <w:rsid w:val="00DB4E13"/>
    <w:rsid w:val="00DB5F37"/>
    <w:rsid w:val="00DC169F"/>
    <w:rsid w:val="00DC56F1"/>
    <w:rsid w:val="00DD5C2B"/>
    <w:rsid w:val="00DD658D"/>
    <w:rsid w:val="00DD7339"/>
    <w:rsid w:val="00DD7D93"/>
    <w:rsid w:val="00DE2325"/>
    <w:rsid w:val="00DE2B99"/>
    <w:rsid w:val="00DE339F"/>
    <w:rsid w:val="00DE4884"/>
    <w:rsid w:val="00DF6F19"/>
    <w:rsid w:val="00E048F5"/>
    <w:rsid w:val="00E0618C"/>
    <w:rsid w:val="00E12650"/>
    <w:rsid w:val="00E12B71"/>
    <w:rsid w:val="00E15D89"/>
    <w:rsid w:val="00E229FB"/>
    <w:rsid w:val="00E240BC"/>
    <w:rsid w:val="00E31575"/>
    <w:rsid w:val="00E31E1C"/>
    <w:rsid w:val="00E34222"/>
    <w:rsid w:val="00E47524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592"/>
    <w:rsid w:val="00F93AA2"/>
    <w:rsid w:val="00FB17D7"/>
    <w:rsid w:val="00FB425A"/>
    <w:rsid w:val="00FB592B"/>
    <w:rsid w:val="00FC3F91"/>
    <w:rsid w:val="00FC4BDB"/>
    <w:rsid w:val="00FC77E2"/>
    <w:rsid w:val="00FC7BF5"/>
    <w:rsid w:val="00FF19E8"/>
    <w:rsid w:val="00FF3538"/>
    <w:rsid w:val="00FF3877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CD8A-D3BE-4F02-8D32-B7B7C64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2016-10-18T09:57:00Z</cp:lastPrinted>
  <dcterms:created xsi:type="dcterms:W3CDTF">2016-10-31T10:22:00Z</dcterms:created>
  <dcterms:modified xsi:type="dcterms:W3CDTF">2016-10-31T10:24:00Z</dcterms:modified>
</cp:coreProperties>
</file>