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82857" w:rsidRPr="0098285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508835038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7A3783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22.12.2014г.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021F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4127E">
              <w:rPr>
                <w:rFonts w:ascii="Times New Roman" w:hAnsi="Times New Roman"/>
                <w:spacing w:val="50"/>
                <w:sz w:val="24"/>
                <w:lang w:val="en-US"/>
              </w:rPr>
              <w:t>59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7A3783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А.М. Фирсов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lastRenderedPageBreak/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Pr="00691B27">
        <w:rPr>
          <w:sz w:val="22"/>
        </w:rPr>
        <w:t>Хворостянский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22.12.2014 </w:t>
      </w:r>
      <w:proofErr w:type="spellStart"/>
      <w:r w:rsidRPr="00691B27">
        <w:rPr>
          <w:sz w:val="22"/>
        </w:rPr>
        <w:t>г.№</w:t>
      </w:r>
      <w:proofErr w:type="spellEnd"/>
      <w:r w:rsidR="0054127E">
        <w:rPr>
          <w:sz w:val="22"/>
          <w:lang w:val="en-US"/>
        </w:rPr>
        <w:t>59</w:t>
      </w:r>
      <w:r w:rsidRPr="00691B27">
        <w:rPr>
          <w:sz w:val="22"/>
        </w:rPr>
        <w:t xml:space="preserve"> 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Default"/>
        <w:jc w:val="center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(утв. постановлением № 51 от 17.12.2013г. с изменениями утв. постановлением № 33 от 18.06.2013г.) </w:t>
      </w:r>
    </w:p>
    <w:p w:rsidR="00691B27" w:rsidRDefault="00691B27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75198F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75198F">
        <w:rPr>
          <w:rFonts w:ascii="Times New Roman" w:hAnsi="Times New Roman" w:cs="Times New Roman"/>
          <w:bCs w:val="0"/>
          <w:sz w:val="28"/>
          <w:szCs w:val="24"/>
        </w:rPr>
        <w:t>1.</w:t>
      </w:r>
      <w:r w:rsidRPr="0075198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внести изменения в муниципальную программу:</w:t>
      </w:r>
    </w:p>
    <w:p w:rsidR="0075198F" w:rsidRDefault="0075198F" w:rsidP="007519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1) в паспорте муниципальной программы графу «Объемы финансирования, в том числе по годам реализации муниципальной программы» изложить в новой редакции:</w:t>
      </w:r>
    </w:p>
    <w:p w:rsidR="0075198F" w:rsidRDefault="0075198F" w:rsidP="007519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«Объемы финансирования составляют расходы, связанные с реализацией мероприятий в размере   </w:t>
      </w:r>
      <w:r w:rsidR="00F53984">
        <w:rPr>
          <w:rFonts w:ascii="Times New Roman" w:hAnsi="Times New Roman" w:cs="Times New Roman"/>
          <w:b w:val="0"/>
          <w:sz w:val="28"/>
          <w:szCs w:val="24"/>
        </w:rPr>
        <w:t>36 451,7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из них: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29A">
        <w:rPr>
          <w:rFonts w:ascii="Times New Roman" w:hAnsi="Times New Roman"/>
          <w:sz w:val="28"/>
          <w:szCs w:val="28"/>
        </w:rPr>
        <w:t>2014 год –</w:t>
      </w:r>
      <w:r>
        <w:rPr>
          <w:rFonts w:ascii="Times New Roman" w:hAnsi="Times New Roman"/>
          <w:sz w:val="28"/>
          <w:szCs w:val="28"/>
        </w:rPr>
        <w:t xml:space="preserve">7329,0 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–4469,5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–4540,5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–4880,9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–4975,9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Pr="00BB329A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–5075,6 </w:t>
      </w:r>
      <w:r w:rsidRPr="00BB329A">
        <w:rPr>
          <w:rFonts w:ascii="Times New Roman" w:hAnsi="Times New Roman"/>
          <w:sz w:val="28"/>
          <w:szCs w:val="28"/>
        </w:rPr>
        <w:t>тыс. руб.;</w:t>
      </w:r>
    </w:p>
    <w:p w:rsidR="0075198F" w:rsidRDefault="0075198F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–5180,3 </w:t>
      </w:r>
      <w:r w:rsidRPr="00BB329A">
        <w:rPr>
          <w:rFonts w:ascii="Times New Roman" w:hAnsi="Times New Roman"/>
          <w:sz w:val="28"/>
          <w:szCs w:val="28"/>
        </w:rPr>
        <w:t>тыс. руб.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предусмотрено из следующих источников: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субсидии.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местного бюджета на очередной финансовый год и плановый период»;</w:t>
      </w:r>
    </w:p>
    <w:p w:rsidR="00F53984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984" w:rsidRPr="00BB329A" w:rsidRDefault="00F53984" w:rsidP="00751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разделе 5 абзаце втором цифры 35 778,1 заменить на 36 451,7; 20 831,3 заменить на 21 504,9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5198F" w:rsidRPr="0075198F" w:rsidRDefault="0075198F" w:rsidP="007519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bookmarkStart w:id="0" w:name="_GoBack"/>
      <w:bookmarkEnd w:id="0"/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изменения в подпрограмму 1:</w:t>
      </w:r>
    </w:p>
    <w:p w:rsidR="00691B27" w:rsidRP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 </w:t>
            </w:r>
          </w:p>
          <w:p w:rsidR="00691B27" w:rsidRPr="00F53746" w:rsidRDefault="00691B27" w:rsidP="00691B2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2.Обеспечение проведения  мероприятий по благоустройству территории поселения.</w:t>
            </w:r>
          </w:p>
          <w:p w:rsidR="00F53746" w:rsidRPr="00691B27" w:rsidRDefault="00F53746" w:rsidP="00F5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3.3 </w:t>
            </w:r>
            <w:r w:rsidRPr="00F53746">
              <w:rPr>
                <w:rFonts w:ascii="Times New Roman" w:hAnsi="Times New Roman"/>
                <w:sz w:val="28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3.Протяженность освещенных  частей улиц, проездов,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</w:t>
            </w:r>
            <w:proofErr w:type="gramStart"/>
            <w:r w:rsidRPr="00014FC0">
              <w:rPr>
                <w:rFonts w:ascii="Times New Roman" w:hAnsi="Times New Roman"/>
                <w:sz w:val="28"/>
              </w:rPr>
              <w:t>.м</w:t>
            </w:r>
            <w:proofErr w:type="gramEnd"/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21 504,9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4174,0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2504,2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2575,2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2915,6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3010,6 тыс. руб.,</w:t>
            </w:r>
          </w:p>
          <w:p w:rsidR="00691B27" w:rsidRPr="00691B27" w:rsidRDefault="0050403B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 3110,3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2020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 3215,0 тыс. руб.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50403B" w:rsidRPr="00691B27" w:rsidRDefault="0050403B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частичный ремонт здания общежития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Салтычки</w:t>
            </w:r>
            <w:proofErr w:type="spellEnd"/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03B" w:rsidRDefault="0050403B" w:rsidP="0050403B">
      <w:pPr>
        <w:rPr>
          <w:rFonts w:ascii="Times New Roman" w:hAnsi="Times New Roman"/>
          <w:sz w:val="28"/>
          <w:szCs w:val="24"/>
          <w:lang w:eastAsia="ru-RU"/>
        </w:rPr>
      </w:pPr>
      <w:r w:rsidRPr="0050403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1 дополнить текстом следующего содержания:</w:t>
      </w:r>
    </w:p>
    <w:p w:rsidR="0050403B" w:rsidRPr="0050403B" w:rsidRDefault="0050403B" w:rsidP="0050403B">
      <w:pPr>
        <w:tabs>
          <w:tab w:val="left" w:pos="4215"/>
        </w:tabs>
        <w:suppressAutoHyphens/>
        <w:spacing w:after="0" w:line="240" w:lineRule="auto"/>
        <w:ind w:firstLine="54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</w:t>
      </w:r>
      <w:r w:rsidR="00A126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50403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Жилищное хозяйство</w:t>
      </w:r>
    </w:p>
    <w:p w:rsidR="0050403B" w:rsidRPr="0050403B" w:rsidRDefault="0050403B" w:rsidP="0050403B">
      <w:pPr>
        <w:tabs>
          <w:tab w:val="left" w:pos="4215"/>
        </w:tabs>
        <w:suppressAutoHyphens/>
        <w:spacing w:after="0" w:line="240" w:lineRule="auto"/>
        <w:ind w:firstLine="54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0403B" w:rsidRPr="0050403B" w:rsidRDefault="0050403B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Из-за недостатка финансирования  </w:t>
      </w:r>
      <w:proofErr w:type="gramStart"/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текущий</w:t>
      </w:r>
      <w:proofErr w:type="gramEnd"/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капитальные ремонты   жилого фонда на средства администрации сельского поселения не производились. Сложившаяся ситуация в социальной сфере на селе является тормозом формирования социально-экономических условий устойчивого развития сельских территорий.</w:t>
      </w:r>
    </w:p>
    <w:p w:rsidR="00A126F4" w:rsidRDefault="0050403B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Настоящая Программа включает в себя мероприятия, направленные на повышение уровня жизни населения  сельского поселения, улучшение внешнего облика,  обеспечение надежной эксплуатации жилого фонда. создание наиболее оптимальных условий для жизни селян</w:t>
      </w:r>
      <w:proofErr w:type="gramStart"/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.</w:t>
      </w:r>
      <w:proofErr w:type="gramEnd"/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Финансирование Программы предусматривается на принципах </w:t>
      </w:r>
      <w:proofErr w:type="spellStart"/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софинансирования</w:t>
      </w:r>
      <w:proofErr w:type="spellEnd"/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за счет средств местного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бюджета</w:t>
      </w:r>
      <w:r w:rsidRPr="0050403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а также других источников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A126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»;</w:t>
      </w:r>
    </w:p>
    <w:p w:rsidR="00A126F4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0403B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3) в разделе 4 в абзаце 2 цифру 20 573,3 заменить на 21 5</w:t>
      </w:r>
      <w:r w:rsidR="00E9581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52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,9;</w:t>
      </w:r>
    </w:p>
    <w:p w:rsidR="00A126F4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26F4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4) в разделке 4 абзац 3 изложить в следующей редакции:</w:t>
      </w:r>
    </w:p>
    <w:p w:rsidR="00A126F4" w:rsidRPr="00A126F4" w:rsidRDefault="00A126F4" w:rsidP="00A1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26F4">
        <w:rPr>
          <w:rFonts w:ascii="Times New Roman" w:hAnsi="Times New Roman"/>
          <w:sz w:val="28"/>
          <w:szCs w:val="28"/>
          <w:lang w:eastAsia="ru-RU"/>
        </w:rPr>
        <w:t>«Ориентировочная потребность в финансировании для реализации данной 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21 5</w:t>
      </w:r>
      <w:r w:rsidR="00E95814">
        <w:rPr>
          <w:rFonts w:ascii="Times New Roman" w:hAnsi="Times New Roman"/>
          <w:sz w:val="28"/>
          <w:szCs w:val="28"/>
          <w:lang w:eastAsia="ru-RU"/>
        </w:rPr>
        <w:t>52</w:t>
      </w:r>
      <w:r>
        <w:rPr>
          <w:rFonts w:ascii="Times New Roman" w:hAnsi="Times New Roman"/>
          <w:sz w:val="28"/>
          <w:szCs w:val="28"/>
          <w:lang w:eastAsia="ru-RU"/>
        </w:rPr>
        <w:t>,9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тыс. руб., в том числе по годам: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6F4">
        <w:rPr>
          <w:rFonts w:ascii="Times New Roman" w:hAnsi="Times New Roman"/>
          <w:sz w:val="28"/>
          <w:szCs w:val="28"/>
          <w:lang w:eastAsia="ru-RU"/>
        </w:rPr>
        <w:t>2014 г.</w:t>
      </w: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4 </w:t>
      </w:r>
      <w:r w:rsidR="00E95814">
        <w:rPr>
          <w:rFonts w:ascii="Times New Roman" w:hAnsi="Times New Roman"/>
          <w:sz w:val="28"/>
          <w:szCs w:val="28"/>
          <w:lang w:eastAsia="ru-RU"/>
        </w:rPr>
        <w:t>222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2504,2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2575,2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2915,6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3010,6 тыс. руб.,</w:t>
      </w:r>
    </w:p>
    <w:p w:rsidR="00A126F4" w:rsidRPr="00A126F4" w:rsidRDefault="00A126F4" w:rsidP="00A12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  3110,3 тыс. руб.,</w:t>
      </w:r>
    </w:p>
    <w:p w:rsidR="00A126F4" w:rsidRDefault="00A126F4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A126F4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126F4">
        <w:rPr>
          <w:rFonts w:ascii="Times New Roman" w:hAnsi="Times New Roman"/>
          <w:sz w:val="28"/>
          <w:szCs w:val="28"/>
          <w:lang w:eastAsia="ru-RU"/>
        </w:rPr>
        <w:t>. –</w:t>
      </w:r>
      <w:r w:rsidRPr="00A126F4">
        <w:rPr>
          <w:rFonts w:ascii="Times New Roman" w:hAnsi="Times New Roman" w:cs="Courier New"/>
          <w:sz w:val="28"/>
          <w:szCs w:val="28"/>
          <w:lang w:eastAsia="ru-RU"/>
        </w:rPr>
        <w:t xml:space="preserve"> 3215,0</w:t>
      </w:r>
      <w:r w:rsidRPr="00A126F4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A126F4" w:rsidRPr="00A126F4" w:rsidRDefault="00A126F4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разделе 5 таблицу изложить в новой редакции:</w:t>
      </w:r>
    </w:p>
    <w:p w:rsidR="00A126F4" w:rsidRPr="0050403B" w:rsidRDefault="00A126F4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A126F4" w:rsidRPr="00A126F4" w:rsidTr="003979E8">
        <w:tc>
          <w:tcPr>
            <w:tcW w:w="27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8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26F4" w:rsidRPr="00A126F4" w:rsidTr="003979E8">
        <w:tc>
          <w:tcPr>
            <w:tcW w:w="27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Ремонт систем водоснабжения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Приобретение учетных приборов, насосов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438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Оформление права собственности  на скважины</w:t>
            </w:r>
          </w:p>
        </w:tc>
        <w:tc>
          <w:tcPr>
            <w:tcW w:w="512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водопровода по ул. </w:t>
            </w:r>
            <w:proofErr w:type="gramStart"/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Железнодорожная</w:t>
            </w:r>
            <w:proofErr w:type="gramEnd"/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1 456,0</w:t>
            </w:r>
          </w:p>
        </w:tc>
        <w:tc>
          <w:tcPr>
            <w:tcW w:w="438" w:type="pct"/>
          </w:tcPr>
          <w:p w:rsidR="00A126F4" w:rsidRPr="00A126F4" w:rsidRDefault="003979E8" w:rsidP="003979E8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979E8">
              <w:rPr>
                <w:rFonts w:ascii="Times New Roman" w:hAnsi="Times New Roman"/>
                <w:szCs w:val="24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6F4" w:rsidRPr="00A126F4" w:rsidTr="003979E8">
        <w:trPr>
          <w:trHeight w:val="1182"/>
        </w:trPr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8" w:type="pct"/>
          </w:tcPr>
          <w:p w:rsidR="00A126F4" w:rsidRPr="00A126F4" w:rsidRDefault="003979E8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Капитальный ремонт и ремонт автодорог местного значения 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12144,4</w:t>
            </w:r>
          </w:p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911,3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1487,9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1558,9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1899,3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1994,3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2094,0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0"/>
                <w:szCs w:val="24"/>
                <w:lang w:eastAsia="ru-RU"/>
              </w:rPr>
              <w:t>2198,7</w:t>
            </w:r>
          </w:p>
        </w:tc>
      </w:tr>
      <w:tr w:rsidR="003979E8" w:rsidRPr="00A126F4" w:rsidTr="00E737D9">
        <w:trPr>
          <w:trHeight w:val="859"/>
        </w:trPr>
        <w:tc>
          <w:tcPr>
            <w:tcW w:w="272" w:type="pct"/>
          </w:tcPr>
          <w:p w:rsidR="003979E8" w:rsidRPr="00A126F4" w:rsidRDefault="003979E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3979E8" w:rsidRDefault="003979E8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Содержание автодорог местного значения </w:t>
            </w:r>
          </w:p>
        </w:tc>
        <w:tc>
          <w:tcPr>
            <w:tcW w:w="512" w:type="pct"/>
          </w:tcPr>
          <w:p w:rsidR="003979E8" w:rsidRDefault="003979E8" w:rsidP="00A126F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109,0</w:t>
            </w:r>
          </w:p>
        </w:tc>
        <w:tc>
          <w:tcPr>
            <w:tcW w:w="438" w:type="pct"/>
          </w:tcPr>
          <w:p w:rsidR="003979E8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07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3979E8" w:rsidRPr="00A126F4" w:rsidRDefault="003979E8" w:rsidP="00A126F4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A126F4" w:rsidRPr="00A126F4" w:rsidTr="00E737D9">
        <w:trPr>
          <w:trHeight w:val="417"/>
        </w:trPr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A126F4" w:rsidRPr="00A126F4" w:rsidRDefault="00A126F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Уличное освещение</w:t>
            </w:r>
          </w:p>
        </w:tc>
        <w:tc>
          <w:tcPr>
            <w:tcW w:w="512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2 914,1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416,3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A126F4" w:rsidRPr="00A126F4" w:rsidRDefault="00A126F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Грейдирование</w:t>
            </w:r>
            <w:proofErr w:type="spellEnd"/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грунтовых дорог</w:t>
            </w:r>
          </w:p>
        </w:tc>
        <w:tc>
          <w:tcPr>
            <w:tcW w:w="512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A126F4" w:rsidRPr="00A126F4" w:rsidRDefault="00A126F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12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9E8">
              <w:rPr>
                <w:rFonts w:ascii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438" w:type="pct"/>
          </w:tcPr>
          <w:p w:rsidR="00A126F4" w:rsidRPr="00A126F4" w:rsidRDefault="003979E8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126F4" w:rsidRPr="00A126F4" w:rsidTr="00E737D9">
        <w:trPr>
          <w:trHeight w:val="899"/>
        </w:trPr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A126F4" w:rsidRPr="00A126F4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Вывоз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несанкционирован-ных</w:t>
            </w:r>
            <w:proofErr w:type="spellEnd"/>
            <w:proofErr w:type="gramEnd"/>
            <w:r w:rsidR="00A126F4" w:rsidRPr="00A126F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свалок</w:t>
            </w:r>
          </w:p>
        </w:tc>
        <w:tc>
          <w:tcPr>
            <w:tcW w:w="512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438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A126F4" w:rsidRPr="00A126F4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Приобретение детской площадки</w:t>
            </w:r>
          </w:p>
        </w:tc>
        <w:tc>
          <w:tcPr>
            <w:tcW w:w="512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38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6F4" w:rsidRPr="00A126F4" w:rsidTr="003979E8">
        <w:tc>
          <w:tcPr>
            <w:tcW w:w="272" w:type="pct"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A126F4" w:rsidRPr="00A126F4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Прокладка водопровода</w:t>
            </w:r>
          </w:p>
        </w:tc>
        <w:tc>
          <w:tcPr>
            <w:tcW w:w="512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438" w:type="pct"/>
          </w:tcPr>
          <w:p w:rsidR="00A126F4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D9" w:rsidRPr="00A126F4" w:rsidTr="00E737D9">
        <w:trPr>
          <w:trHeight w:val="809"/>
        </w:trPr>
        <w:tc>
          <w:tcPr>
            <w:tcW w:w="272" w:type="pct"/>
          </w:tcPr>
          <w:p w:rsidR="00E737D9" w:rsidRPr="00A126F4" w:rsidRDefault="00E737D9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E737D9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памятника ВОВ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и ограждения</w:t>
            </w:r>
          </w:p>
        </w:tc>
        <w:tc>
          <w:tcPr>
            <w:tcW w:w="512" w:type="pct"/>
          </w:tcPr>
          <w:p w:rsidR="00E737D9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38" w:type="pct"/>
          </w:tcPr>
          <w:p w:rsidR="00E737D9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07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E737D9" w:rsidRPr="00A126F4" w:rsidRDefault="00E737D9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814" w:rsidRPr="00A126F4" w:rsidTr="00E737D9">
        <w:trPr>
          <w:trHeight w:val="809"/>
        </w:trPr>
        <w:tc>
          <w:tcPr>
            <w:tcW w:w="272" w:type="pct"/>
          </w:tcPr>
          <w:p w:rsidR="00E95814" w:rsidRPr="00A126F4" w:rsidRDefault="00E95814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E95814" w:rsidRDefault="00E95814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Ремонт здания общежития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Салтычки</w:t>
            </w:r>
            <w:proofErr w:type="spellEnd"/>
          </w:p>
        </w:tc>
        <w:tc>
          <w:tcPr>
            <w:tcW w:w="512" w:type="pct"/>
          </w:tcPr>
          <w:p w:rsidR="00E9581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438" w:type="pct"/>
          </w:tcPr>
          <w:p w:rsidR="00E9581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407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E95814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D9" w:rsidRPr="00A126F4" w:rsidTr="00E737D9">
        <w:trPr>
          <w:trHeight w:val="834"/>
        </w:trPr>
        <w:tc>
          <w:tcPr>
            <w:tcW w:w="272" w:type="pct"/>
          </w:tcPr>
          <w:p w:rsidR="00E737D9" w:rsidRPr="00A126F4" w:rsidRDefault="00E737D9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E737D9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Прочие мероприятия по благоустройству сельского поселения</w:t>
            </w:r>
          </w:p>
        </w:tc>
        <w:tc>
          <w:tcPr>
            <w:tcW w:w="512" w:type="pct"/>
          </w:tcPr>
          <w:p w:rsidR="00E737D9" w:rsidRDefault="00A570B6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438" w:type="pct"/>
          </w:tcPr>
          <w:p w:rsidR="00E737D9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07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7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8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7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5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406" w:type="pct"/>
          </w:tcPr>
          <w:p w:rsidR="00E737D9" w:rsidRPr="00A126F4" w:rsidRDefault="00E95814" w:rsidP="00A126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E737D9" w:rsidRPr="00A126F4" w:rsidTr="00E737D9">
        <w:trPr>
          <w:trHeight w:val="834"/>
        </w:trPr>
        <w:tc>
          <w:tcPr>
            <w:tcW w:w="272" w:type="pct"/>
          </w:tcPr>
          <w:p w:rsidR="00E737D9" w:rsidRPr="00A126F4" w:rsidRDefault="00E737D9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E737D9" w:rsidRDefault="00E737D9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Cs w:val="24"/>
                <w:lang w:eastAsia="ru-RU"/>
              </w:rPr>
              <w:t>21552,9</w:t>
            </w:r>
          </w:p>
        </w:tc>
        <w:tc>
          <w:tcPr>
            <w:tcW w:w="438" w:type="pct"/>
          </w:tcPr>
          <w:p w:rsidR="00E737D9" w:rsidRPr="00E95814" w:rsidRDefault="00E95814" w:rsidP="00E95814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95814">
              <w:rPr>
                <w:rFonts w:ascii="Times New Roman" w:hAnsi="Times New Roman"/>
                <w:b/>
                <w:szCs w:val="24"/>
                <w:lang w:eastAsia="ru-RU"/>
              </w:rPr>
              <w:t>4222,0</w:t>
            </w:r>
          </w:p>
        </w:tc>
        <w:tc>
          <w:tcPr>
            <w:tcW w:w="407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2504,2</w:t>
            </w:r>
          </w:p>
        </w:tc>
        <w:tc>
          <w:tcPr>
            <w:tcW w:w="407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2575,2</w:t>
            </w:r>
          </w:p>
        </w:tc>
        <w:tc>
          <w:tcPr>
            <w:tcW w:w="408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2915,6</w:t>
            </w:r>
          </w:p>
        </w:tc>
        <w:tc>
          <w:tcPr>
            <w:tcW w:w="407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3010,6</w:t>
            </w:r>
          </w:p>
        </w:tc>
        <w:tc>
          <w:tcPr>
            <w:tcW w:w="405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3110,3</w:t>
            </w:r>
          </w:p>
        </w:tc>
        <w:tc>
          <w:tcPr>
            <w:tcW w:w="406" w:type="pct"/>
          </w:tcPr>
          <w:p w:rsidR="00E737D9" w:rsidRPr="00A570B6" w:rsidRDefault="00A570B6" w:rsidP="00A126F4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70B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3215,0</w:t>
            </w:r>
          </w:p>
        </w:tc>
      </w:tr>
    </w:tbl>
    <w:p w:rsidR="00691B27" w:rsidRPr="0050403B" w:rsidRDefault="00691B27" w:rsidP="0050403B">
      <w:pPr>
        <w:rPr>
          <w:rFonts w:ascii="Times New Roman" w:hAnsi="Times New Roman"/>
          <w:sz w:val="28"/>
          <w:szCs w:val="24"/>
          <w:lang w:eastAsia="ru-RU"/>
        </w:rPr>
      </w:pPr>
    </w:p>
    <w:sectPr w:rsidR="00691B27" w:rsidRPr="0050403B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14FC0"/>
    <w:rsid w:val="000B6748"/>
    <w:rsid w:val="000D09FF"/>
    <w:rsid w:val="000D251C"/>
    <w:rsid w:val="000E035F"/>
    <w:rsid w:val="00262E22"/>
    <w:rsid w:val="002C52D0"/>
    <w:rsid w:val="003021F6"/>
    <w:rsid w:val="003979E8"/>
    <w:rsid w:val="00455780"/>
    <w:rsid w:val="0050403B"/>
    <w:rsid w:val="00533417"/>
    <w:rsid w:val="0054127E"/>
    <w:rsid w:val="00556123"/>
    <w:rsid w:val="00683040"/>
    <w:rsid w:val="00691B27"/>
    <w:rsid w:val="00734530"/>
    <w:rsid w:val="0075198F"/>
    <w:rsid w:val="007A3783"/>
    <w:rsid w:val="00803D9B"/>
    <w:rsid w:val="00850DC1"/>
    <w:rsid w:val="008F4470"/>
    <w:rsid w:val="00982857"/>
    <w:rsid w:val="009A1CF1"/>
    <w:rsid w:val="00A126F4"/>
    <w:rsid w:val="00A17940"/>
    <w:rsid w:val="00A570B6"/>
    <w:rsid w:val="00AE7BF6"/>
    <w:rsid w:val="00AF083D"/>
    <w:rsid w:val="00B652D6"/>
    <w:rsid w:val="00B92956"/>
    <w:rsid w:val="00C05823"/>
    <w:rsid w:val="00C326F8"/>
    <w:rsid w:val="00C36E1C"/>
    <w:rsid w:val="00C95FDA"/>
    <w:rsid w:val="00E737D9"/>
    <w:rsid w:val="00E95814"/>
    <w:rsid w:val="00F53746"/>
    <w:rsid w:val="00F5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CA2A-1EFF-4740-B3B1-6F34053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2</cp:revision>
  <cp:lastPrinted>2014-12-21T23:19:00Z</cp:lastPrinted>
  <dcterms:created xsi:type="dcterms:W3CDTF">2015-11-12T09:04:00Z</dcterms:created>
  <dcterms:modified xsi:type="dcterms:W3CDTF">2015-11-12T09:04:00Z</dcterms:modified>
</cp:coreProperties>
</file>